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B6" w:rsidRPr="006E3DDE" w:rsidRDefault="007C2BB6" w:rsidP="006E3DDE">
      <w:pPr>
        <w:jc w:val="center"/>
        <w:rPr>
          <w:b/>
          <w:sz w:val="24"/>
          <w:szCs w:val="24"/>
        </w:rPr>
      </w:pPr>
      <w:r w:rsidRPr="006E3DDE">
        <w:rPr>
          <w:b/>
          <w:sz w:val="24"/>
          <w:szCs w:val="24"/>
        </w:rPr>
        <w:t>Реализация региональных проектов</w:t>
      </w:r>
      <w:r w:rsidR="00E63F11" w:rsidRPr="006E3DDE">
        <w:rPr>
          <w:b/>
          <w:sz w:val="24"/>
          <w:szCs w:val="24"/>
        </w:rPr>
        <w:t xml:space="preserve"> в </w:t>
      </w:r>
      <w:r w:rsidR="006E4AAC">
        <w:rPr>
          <w:b/>
          <w:sz w:val="24"/>
          <w:szCs w:val="24"/>
        </w:rPr>
        <w:t>муниципальном районе «Корткеросский»</w:t>
      </w:r>
      <w:r w:rsidR="00796616">
        <w:rPr>
          <w:b/>
          <w:sz w:val="24"/>
          <w:szCs w:val="24"/>
        </w:rPr>
        <w:t xml:space="preserve"> в 202</w:t>
      </w:r>
      <w:r w:rsidR="00AD0CFA">
        <w:rPr>
          <w:b/>
          <w:sz w:val="24"/>
          <w:szCs w:val="24"/>
        </w:rPr>
        <w:t>3</w:t>
      </w:r>
      <w:r w:rsidR="00796616">
        <w:rPr>
          <w:b/>
          <w:sz w:val="24"/>
          <w:szCs w:val="24"/>
        </w:rPr>
        <w:t xml:space="preserve"> году</w:t>
      </w:r>
    </w:p>
    <w:p w:rsidR="007C2BB6" w:rsidRPr="006E3DDE" w:rsidRDefault="007C2BB6" w:rsidP="006E3DDE">
      <w:pPr>
        <w:jc w:val="center"/>
      </w:pPr>
    </w:p>
    <w:tbl>
      <w:tblPr>
        <w:tblW w:w="14250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538"/>
        <w:gridCol w:w="1923"/>
        <w:gridCol w:w="1720"/>
        <w:gridCol w:w="1655"/>
        <w:gridCol w:w="2788"/>
        <w:gridCol w:w="2276"/>
      </w:tblGrid>
      <w:tr w:rsidR="000350CC" w:rsidRPr="000350CC" w:rsidTr="00E24A07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DDE" w:rsidRPr="00583F1E" w:rsidRDefault="006E3DDE" w:rsidP="007C2BB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Культура</w:t>
            </w:r>
          </w:p>
        </w:tc>
      </w:tr>
      <w:tr w:rsidR="004F750F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Наименование регионального проекта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Региональный куратор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Муниципальный куратор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4D6255" w:rsidP="00E63F1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Цели регионального проекта</w:t>
            </w:r>
            <w:r w:rsidR="00486451"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, на достижение которых направлена деятельность администрации</w:t>
            </w:r>
          </w:p>
        </w:tc>
        <w:tc>
          <w:tcPr>
            <w:tcW w:w="2276" w:type="dxa"/>
          </w:tcPr>
          <w:p w:rsidR="00057C50" w:rsidRPr="00583F1E" w:rsidRDefault="00057C50" w:rsidP="004D625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Основание для реализации</w:t>
            </w:r>
          </w:p>
        </w:tc>
      </w:tr>
      <w:tr w:rsidR="004F750F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F163D" w:rsidRDefault="00307104" w:rsidP="007C2BB6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F163D">
              <w:rPr>
                <w:rFonts w:eastAsia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43B" w:rsidRPr="006D5A24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Региональный проект </w:t>
            </w:r>
          </w:p>
          <w:p w:rsidR="00057C50" w:rsidRPr="006D5A24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«Творческие люди»</w:t>
            </w:r>
          </w:p>
          <w:p w:rsidR="00057C50" w:rsidRPr="006D5A24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57C50" w:rsidRPr="006D5A24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http://project.rkomi.ru/pages/kultura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6D5A24" w:rsidRDefault="00DA7627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307104" w:rsidRPr="006D5A2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Министр культуры, туризма и архивного дела Республики Коми</w:t>
              </w:r>
            </w:hyperlink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6D5A24" w:rsidRDefault="00307104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 w:rsidR="00583F1E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</w:t>
            </w:r>
            <w:proofErr w:type="gram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="00583F1E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="00583F1E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6D5A24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Микушева</w:t>
            </w:r>
            <w:proofErr w:type="spellEnd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</w:t>
            </w:r>
            <w:r w:rsidR="00307104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иктория </w:t>
            </w:r>
            <w:proofErr w:type="spell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="00307104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рониславовна</w:t>
            </w:r>
            <w:proofErr w:type="spellEnd"/>
            <w:r w:rsidR="00307104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начальник Управления культуры, туризма и национальной политики</w:t>
            </w:r>
            <w:r w:rsidR="00486451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6D5A24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sz w:val="20"/>
                <w:szCs w:val="20"/>
              </w:rPr>
              <w:t>Увеличение к 2024 году количества граждан, вовлеченных в культурную деятельность путем поддержки</w:t>
            </w:r>
          </w:p>
        </w:tc>
        <w:tc>
          <w:tcPr>
            <w:tcW w:w="2276" w:type="dxa"/>
          </w:tcPr>
          <w:p w:rsidR="00057C50" w:rsidRPr="006D5A24" w:rsidRDefault="00057C50" w:rsidP="00486451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по обучению (повышению квалификации) сотрудников учре</w:t>
            </w:r>
            <w:r w:rsidR="00486451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ждений культуры осуществляется </w:t>
            </w: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 счет средств республиканского бюджета</w:t>
            </w:r>
          </w:p>
        </w:tc>
      </w:tr>
      <w:tr w:rsidR="002475D6" w:rsidRPr="000350CC" w:rsidTr="007C70CE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6D5A24" w:rsidRDefault="002475D6" w:rsidP="006E3DD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2475D6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</w:t>
            </w:r>
          </w:p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«Современная школа»</w:t>
            </w:r>
          </w:p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http://project.rkomi.ru/pages/obrazovanie-7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образования, науки и молодежной политики РК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Карпов Константин Владимирович, заместитель Главы МР «Корткеросский</w:t>
            </w:r>
            <w:proofErr w:type="gram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Ярцева Наталья Владимировна, начальник Управления образования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sz w:val="20"/>
                <w:szCs w:val="20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(Республика Коми)</w:t>
            </w:r>
          </w:p>
        </w:tc>
        <w:tc>
          <w:tcPr>
            <w:tcW w:w="2276" w:type="dxa"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реализуется за счет средств республиканского бюджета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2475D6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</w:t>
            </w:r>
          </w:p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«Успех каждого ребенка»</w:t>
            </w:r>
          </w:p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http://project.rkomi.ru/pages/obrazovanie-7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образования, науки и молодежной политики РК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Карпов Константин Владимирович, заместитель Главы МР «Корткеросский</w:t>
            </w:r>
            <w:proofErr w:type="gram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Ярцева Наталья Владимировна, начальник Управления образования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sz w:val="20"/>
                <w:szCs w:val="20"/>
              </w:rPr>
      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  <w:tc>
          <w:tcPr>
            <w:tcW w:w="2276" w:type="dxa"/>
          </w:tcPr>
          <w:p w:rsidR="002475D6" w:rsidRPr="006D5A24" w:rsidRDefault="002475D6" w:rsidP="00486451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реализуется в рамках Соглашения с Министерством образования, науки и  молодежной политики РК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2475D6" w:rsidP="007C2BB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</w:t>
            </w:r>
          </w:p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«Цифровая образовательная среда»</w:t>
            </w:r>
          </w:p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6D5A24" w:rsidRDefault="00DA7627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2475D6" w:rsidRPr="006D5A24">
                <w:rPr>
                  <w:rStyle w:val="a5"/>
                  <w:rFonts w:eastAsia="Times New Roman" w:cs="Times New Roman"/>
                  <w:color w:val="auto"/>
                  <w:sz w:val="20"/>
                  <w:szCs w:val="20"/>
                  <w:lang w:eastAsia="ru-RU"/>
                </w:rPr>
                <w:t>http://project.rkomi.ru/pages/obrazovanie-7</w:t>
              </w:r>
            </w:hyperlink>
            <w:r w:rsidR="002475D6" w:rsidRPr="006D5A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образования, науки и молодежной политики РК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Карпов Константин Владимирович, заместитель Главы МР «Корткеросский</w:t>
            </w:r>
            <w:proofErr w:type="gram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Ярцева Наталья Владимировна, начальник Управления образования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Создание к 2024 году современной и безопасной цифровой образовательной среды,</w:t>
            </w:r>
          </w:p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обеспечивающей высокое качество и доступность образования всех видов и уровней.</w:t>
            </w:r>
          </w:p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Результаты реализации настоящего регионального проекта окажут существенное влияние на оптимизацию деятельности образовательных организаций, а</w:t>
            </w:r>
          </w:p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также обеспечат создание условий для глобальной конкурентоспособности российского образования, обеспечения высокого качества обучения,</w:t>
            </w:r>
          </w:p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направленных на улучшение качества жизни в каждом регионе.</w:t>
            </w:r>
          </w:p>
        </w:tc>
        <w:tc>
          <w:tcPr>
            <w:tcW w:w="2276" w:type="dxa"/>
          </w:tcPr>
          <w:p w:rsidR="002475D6" w:rsidRPr="006D5A2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реализуется за счет средств республиканского бюджета</w:t>
            </w:r>
          </w:p>
        </w:tc>
      </w:tr>
      <w:tr w:rsidR="002475D6" w:rsidRPr="000350CC" w:rsidTr="00285E3E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6D5A24" w:rsidRDefault="002475D6" w:rsidP="006E3DD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Жилье и городская среда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EA73A9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«Формирование комфортной городской среды»</w:t>
            </w:r>
          </w:p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http://project.rkomi.ru/pages/zhilie_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5A24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hyperlink r:id="rId8" w:tgtFrame="_blank" w:history="1">
              <w:r w:rsidRPr="006D5A24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Министр строительства и жилищно-коммунального хозяйства Республики Коми</w:t>
              </w:r>
            </w:hyperlink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Изъюров</w:t>
            </w:r>
            <w:proofErr w:type="spellEnd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Сергей Леонидович, заместитель Главы МР «Корткеросский</w:t>
            </w:r>
            <w:proofErr w:type="gram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Мишарина</w:t>
            </w:r>
            <w:proofErr w:type="spellEnd"/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Ирина Анатольевна, начальник Управления жилищно-коммунального, дорожного хозяйства и транспорта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6D5A24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sz w:val="20"/>
                <w:szCs w:val="20"/>
              </w:rPr>
              <w:t>Кардинальное повышение комфортности проживания, повышение индекса качества проживания среды на 30 процентов, сокращение в соответствии с этим индексом количества населенных пунктов с неблагоприятной средой в два раза</w:t>
            </w:r>
          </w:p>
        </w:tc>
        <w:tc>
          <w:tcPr>
            <w:tcW w:w="2276" w:type="dxa"/>
          </w:tcPr>
          <w:p w:rsidR="002475D6" w:rsidRPr="006D5A24" w:rsidRDefault="002475D6" w:rsidP="00EA73A9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реализуется в рамках Соглашения с Министерством</w:t>
            </w:r>
          </w:p>
          <w:p w:rsidR="00EA73A9" w:rsidRPr="006D5A24" w:rsidRDefault="002475D6" w:rsidP="00EA73A9">
            <w:pPr>
              <w:tabs>
                <w:tab w:val="left" w:pos="5812"/>
              </w:tabs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cs="Times New Roman"/>
                <w:bCs/>
                <w:iCs/>
                <w:sz w:val="20"/>
                <w:szCs w:val="20"/>
                <w:shd w:val="clear" w:color="auto" w:fill="FFFFFF"/>
              </w:rPr>
              <w:t>энергетики, жилищно-коммунального хозяйства и тарифов Республики Коми</w:t>
            </w:r>
            <w:r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EA73A9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заключаемого с муниципальными образованиями сельских поселений «Корткерос», «Сторожевск», «Нившера», «Мордино». В 202</w:t>
            </w:r>
            <w:r w:rsidR="00AD7ABA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="00EA73A9" w:rsidRPr="006D5A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году планируется:</w:t>
            </w:r>
          </w:p>
          <w:p w:rsidR="006D5A24" w:rsidRPr="006D5A24" w:rsidRDefault="006D5A24" w:rsidP="006D5A24">
            <w:pPr>
              <w:tabs>
                <w:tab w:val="left" w:pos="5812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D5A24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благоустройство 4 общественных территории </w:t>
            </w:r>
            <w:r w:rsidRPr="006D5A24">
              <w:rPr>
                <w:rFonts w:cs="Times New Roman"/>
                <w:b/>
                <w:sz w:val="20"/>
                <w:szCs w:val="20"/>
              </w:rPr>
              <w:t xml:space="preserve">на общую сумму – 7 010,57 тыс. рублей: </w:t>
            </w:r>
          </w:p>
          <w:p w:rsidR="006D5A24" w:rsidRPr="006D5A24" w:rsidRDefault="006D5A24" w:rsidP="006D5A24">
            <w:pPr>
              <w:tabs>
                <w:tab w:val="left" w:pos="5812"/>
              </w:tabs>
              <w:ind w:firstLine="851"/>
              <w:jc w:val="both"/>
              <w:rPr>
                <w:rFonts w:cs="Times New Roman"/>
                <w:sz w:val="20"/>
                <w:szCs w:val="20"/>
              </w:rPr>
            </w:pPr>
            <w:r w:rsidRPr="006D5A24">
              <w:rPr>
                <w:rFonts w:cs="Times New Roman"/>
                <w:b/>
                <w:sz w:val="20"/>
                <w:szCs w:val="20"/>
              </w:rPr>
              <w:t xml:space="preserve">СП Нившера - </w:t>
            </w:r>
            <w:r w:rsidRPr="006D5A24">
              <w:rPr>
                <w:rFonts w:cs="Times New Roman"/>
                <w:sz w:val="20"/>
                <w:szCs w:val="20"/>
              </w:rPr>
              <w:t xml:space="preserve">благоустройство общественной территории (футбольное поле) возле д. 87 </w:t>
            </w:r>
            <w:r w:rsidRPr="006D5A24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6D5A24">
              <w:rPr>
                <w:rFonts w:cs="Times New Roman"/>
                <w:sz w:val="20"/>
                <w:szCs w:val="20"/>
              </w:rPr>
              <w:t xml:space="preserve"> этап (отсыпка территории щебнем) на общую сумму 877,751 </w:t>
            </w:r>
            <w:proofErr w:type="spellStart"/>
            <w:r w:rsidRPr="006D5A24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6D5A24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6D5A24">
              <w:rPr>
                <w:rFonts w:cs="Times New Roman"/>
                <w:sz w:val="20"/>
                <w:szCs w:val="20"/>
              </w:rPr>
              <w:t>ублей</w:t>
            </w:r>
            <w:proofErr w:type="spellEnd"/>
            <w:r w:rsidRPr="006D5A24">
              <w:rPr>
                <w:rFonts w:cs="Times New Roman"/>
                <w:sz w:val="20"/>
                <w:szCs w:val="20"/>
              </w:rPr>
              <w:t>.</w:t>
            </w:r>
          </w:p>
          <w:p w:rsidR="006D5A24" w:rsidRPr="006D5A24" w:rsidRDefault="006D5A24" w:rsidP="006D5A24">
            <w:pPr>
              <w:tabs>
                <w:tab w:val="left" w:pos="5812"/>
              </w:tabs>
              <w:ind w:firstLine="851"/>
              <w:jc w:val="both"/>
              <w:rPr>
                <w:rFonts w:cs="Times New Roman"/>
                <w:sz w:val="20"/>
                <w:szCs w:val="20"/>
              </w:rPr>
            </w:pPr>
            <w:r w:rsidRPr="006D5A24">
              <w:rPr>
                <w:rFonts w:cs="Times New Roman"/>
                <w:b/>
                <w:sz w:val="20"/>
                <w:szCs w:val="20"/>
              </w:rPr>
              <w:t xml:space="preserve">СП Сторожевск – </w:t>
            </w:r>
            <w:r w:rsidRPr="006D5A24">
              <w:rPr>
                <w:rFonts w:cs="Times New Roman"/>
                <w:sz w:val="20"/>
                <w:szCs w:val="20"/>
              </w:rPr>
              <w:t xml:space="preserve">проезд к домам по ул. Полевая от д. 16 до 6 </w:t>
            </w:r>
            <w:r w:rsidRPr="006D5A24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6D5A24">
              <w:rPr>
                <w:rFonts w:cs="Times New Roman"/>
                <w:sz w:val="20"/>
                <w:szCs w:val="20"/>
              </w:rPr>
              <w:t xml:space="preserve"> этап (работы по </w:t>
            </w:r>
            <w:proofErr w:type="spellStart"/>
            <w:r w:rsidRPr="006D5A24">
              <w:rPr>
                <w:rFonts w:cs="Times New Roman"/>
                <w:sz w:val="20"/>
                <w:szCs w:val="20"/>
              </w:rPr>
              <w:t>оконавливанию</w:t>
            </w:r>
            <w:proofErr w:type="spellEnd"/>
            <w:r w:rsidRPr="006D5A24">
              <w:rPr>
                <w:rFonts w:cs="Times New Roman"/>
                <w:sz w:val="20"/>
                <w:szCs w:val="20"/>
              </w:rPr>
              <w:t xml:space="preserve"> и устройству твердого покрытия) на общую сумму 1 094,650 </w:t>
            </w:r>
            <w:proofErr w:type="spellStart"/>
            <w:r w:rsidRPr="006D5A24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6D5A24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6D5A24">
              <w:rPr>
                <w:rFonts w:cs="Times New Roman"/>
                <w:sz w:val="20"/>
                <w:szCs w:val="20"/>
              </w:rPr>
              <w:t>ублей</w:t>
            </w:r>
            <w:proofErr w:type="spellEnd"/>
            <w:r w:rsidRPr="006D5A24">
              <w:rPr>
                <w:rFonts w:cs="Times New Roman"/>
                <w:sz w:val="20"/>
                <w:szCs w:val="20"/>
              </w:rPr>
              <w:t>.</w:t>
            </w:r>
          </w:p>
          <w:p w:rsidR="006D5A24" w:rsidRPr="006D5A24" w:rsidRDefault="006D5A24" w:rsidP="006D5A24">
            <w:pPr>
              <w:tabs>
                <w:tab w:val="left" w:pos="5812"/>
              </w:tabs>
              <w:ind w:firstLine="851"/>
              <w:jc w:val="both"/>
              <w:rPr>
                <w:rFonts w:cs="Times New Roman"/>
                <w:sz w:val="20"/>
                <w:szCs w:val="20"/>
              </w:rPr>
            </w:pPr>
            <w:r w:rsidRPr="006D5A24">
              <w:rPr>
                <w:rFonts w:cs="Times New Roman"/>
                <w:b/>
                <w:sz w:val="20"/>
                <w:szCs w:val="20"/>
              </w:rPr>
              <w:t>СП Корткерос</w:t>
            </w:r>
            <w:r w:rsidRPr="006D5A24">
              <w:rPr>
                <w:rFonts w:cs="Times New Roman"/>
                <w:sz w:val="20"/>
                <w:szCs w:val="20"/>
              </w:rPr>
              <w:t xml:space="preserve"> – выполнение благоустройства общественной территории по ул. Советская напротив жилого дома 126а (монтаж и установка ограждения, устройство </w:t>
            </w:r>
            <w:r w:rsidRPr="006D5A24">
              <w:rPr>
                <w:rFonts w:cs="Times New Roman"/>
                <w:sz w:val="20"/>
                <w:szCs w:val="20"/>
              </w:rPr>
              <w:lastRenderedPageBreak/>
              <w:t xml:space="preserve">твердого покрытия, освещение) на общую сумму 4 191,544 </w:t>
            </w:r>
            <w:proofErr w:type="spellStart"/>
            <w:r w:rsidRPr="006D5A24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6D5A24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6D5A24">
              <w:rPr>
                <w:rFonts w:cs="Times New Roman"/>
                <w:sz w:val="20"/>
                <w:szCs w:val="20"/>
              </w:rPr>
              <w:t>ублей</w:t>
            </w:r>
            <w:proofErr w:type="spellEnd"/>
            <w:r w:rsidRPr="006D5A24">
              <w:rPr>
                <w:rFonts w:cs="Times New Roman"/>
                <w:sz w:val="20"/>
                <w:szCs w:val="20"/>
              </w:rPr>
              <w:t>.</w:t>
            </w:r>
          </w:p>
          <w:p w:rsidR="002475D6" w:rsidRPr="006D5A24" w:rsidRDefault="006D5A24" w:rsidP="006D5A24">
            <w:pPr>
              <w:tabs>
                <w:tab w:val="left" w:pos="5812"/>
              </w:tabs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5A24">
              <w:rPr>
                <w:rFonts w:cs="Times New Roman"/>
                <w:b/>
                <w:sz w:val="20"/>
                <w:szCs w:val="20"/>
              </w:rPr>
              <w:t>СП Мордино</w:t>
            </w:r>
            <w:r w:rsidRPr="006D5A24">
              <w:rPr>
                <w:rFonts w:cs="Times New Roman"/>
                <w:sz w:val="20"/>
                <w:szCs w:val="20"/>
              </w:rPr>
              <w:t xml:space="preserve"> – установка и монтаж ограждения на детской площадке по ул. Набережной. на общую сумму 846,625 </w:t>
            </w:r>
            <w:proofErr w:type="spellStart"/>
            <w:r w:rsidRPr="006D5A24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6D5A24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6D5A24">
              <w:rPr>
                <w:rFonts w:cs="Times New Roman"/>
                <w:sz w:val="20"/>
                <w:szCs w:val="20"/>
              </w:rPr>
              <w:t>ублей</w:t>
            </w:r>
            <w:proofErr w:type="spellEnd"/>
            <w:r w:rsidRPr="006D5A24">
              <w:rPr>
                <w:rFonts w:cs="Times New Roman"/>
                <w:sz w:val="20"/>
                <w:szCs w:val="20"/>
              </w:rPr>
              <w:t>.</w:t>
            </w:r>
            <w:r w:rsidR="00EA73A9" w:rsidRPr="006D5A24">
              <w:rPr>
                <w:sz w:val="20"/>
                <w:szCs w:val="20"/>
              </w:rPr>
              <w:t>.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EA73A9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http://project.rkomi.ru/pages/zhilie_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DA7627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9" w:tgtFrame="_blank" w:history="1">
              <w:r w:rsidR="002475D6" w:rsidRPr="00583F1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Минист</w:t>
              </w:r>
              <w:r w:rsidR="002475D6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</w:t>
              </w:r>
              <w:r w:rsidR="002475D6" w:rsidRPr="00583F1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строительства и жилищно-коммунального хозяйства Республики Коми</w:t>
              </w:r>
            </w:hyperlink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Изъюров</w:t>
            </w:r>
            <w:proofErr w:type="spellEnd"/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Сергей Леонидович,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</w:t>
            </w:r>
            <w:proofErr w:type="gramStart"/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Редькин Николай Николаевич, заведующий отделом архитектуры и строительства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с расселением к 31.12.2024 не менее 135,22 тыс. кв. метров аварийного жилищного фонда, расселением не менее 7,52 тыс. человек.</w:t>
            </w:r>
          </w:p>
        </w:tc>
        <w:tc>
          <w:tcPr>
            <w:tcW w:w="2276" w:type="dxa"/>
          </w:tcPr>
          <w:p w:rsidR="002475D6" w:rsidRPr="00DA7627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A762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реализуется в рамках Соглашени</w:t>
            </w:r>
            <w:r w:rsidR="00D1719E" w:rsidRPr="00DA762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  <w:r w:rsidRPr="00DA762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 </w:t>
            </w:r>
            <w:r w:rsidRPr="00DA7627">
              <w:rPr>
                <w:bCs/>
                <w:sz w:val="20"/>
                <w:szCs w:val="20"/>
                <w:shd w:val="clear" w:color="auto" w:fill="FFFFFF"/>
              </w:rPr>
              <w:t>Министерством строительства и дорожного хозяйства Республики Коми</w:t>
            </w:r>
          </w:p>
          <w:p w:rsidR="002475D6" w:rsidRDefault="002475D6" w:rsidP="00D1719E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A762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соответствии с муниципальной </w:t>
            </w:r>
            <w:r w:rsidR="00D1719E" w:rsidRPr="00DA762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адресной </w:t>
            </w:r>
            <w:r w:rsidRPr="00DA762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программой «Переселение граждан из аварийного жилищного фонда на 2019-2025 годы, утвержденной постановлением администрации от 15.02.2019 г. №138</w:t>
            </w:r>
          </w:p>
          <w:p w:rsidR="0024767D" w:rsidRDefault="0024767D" w:rsidP="00D1719E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A7627"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В 2023 году предусмотрено строительство МКД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24767D" w:rsidRDefault="0024767D" w:rsidP="00DA7627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ордино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ул.Ленина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11 (6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24767D" w:rsidRDefault="0024767D" w:rsidP="00DA7627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ордино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ул.Северная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17 (6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24767D" w:rsidRDefault="0024767D" w:rsidP="00DA7627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ордино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ул.Северная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20 (6кв);</w:t>
            </w:r>
          </w:p>
          <w:p w:rsidR="0024767D" w:rsidRDefault="0024767D" w:rsidP="00DA7627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ордино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ул.Северная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21 (4кв);</w:t>
            </w:r>
          </w:p>
          <w:p w:rsidR="0024767D" w:rsidRDefault="0024767D" w:rsidP="00DA7627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ордино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ул.Северная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22 (1кв);</w:t>
            </w:r>
          </w:p>
          <w:p w:rsidR="0024767D" w:rsidRDefault="0024767D" w:rsidP="00DA7627">
            <w:pPr>
              <w:pStyle w:val="a6"/>
              <w:numPr>
                <w:ilvl w:val="0"/>
                <w:numId w:val="1"/>
              </w:numPr>
              <w:ind w:left="0" w:firstLine="36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ордино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ул.Северная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2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(1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762DF5" w:rsidRDefault="00762DF5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24767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24767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bookmarkStart w:id="0" w:name="_GoBack"/>
            <w:bookmarkEnd w:id="0"/>
            <w:proofErr w:type="gramEnd"/>
            <w:r w:rsidRPr="0024767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ордино</w:t>
            </w:r>
            <w:proofErr w:type="spellEnd"/>
            <w:r w:rsidRPr="0024767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4767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Комсомольская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8 (6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24767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762DF5" w:rsidRDefault="00762DF5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орткерос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Сангородок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(30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762DF5" w:rsidRDefault="00762DF5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орткерос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Первомайская, 6 (30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  <w:p w:rsidR="00762DF5" w:rsidRDefault="00762DF5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орткерос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ул.Лебедева,6 (30 кв.);</w:t>
            </w:r>
          </w:p>
          <w:p w:rsidR="00762DF5" w:rsidRDefault="00762DF5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одтыбок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Королева, 2 а (8 кв.);</w:t>
            </w:r>
          </w:p>
          <w:p w:rsidR="00762DF5" w:rsidRDefault="00762DF5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одтыбок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Королева,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4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кв.);</w:t>
            </w:r>
          </w:p>
          <w:p w:rsidR="00762DF5" w:rsidRDefault="00DA7627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одтыбок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Восточная, 3 а (10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DA7627" w:rsidRDefault="00DA7627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одтыбок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ул.Дальняя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14 (8 кв.);</w:t>
            </w:r>
          </w:p>
          <w:p w:rsidR="00DA7627" w:rsidRDefault="00DA7627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одтыбок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ул.Новая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8 (6 кв.);</w:t>
            </w:r>
          </w:p>
          <w:p w:rsidR="00DA7627" w:rsidRPr="0024767D" w:rsidRDefault="00DA7627" w:rsidP="00DA7627">
            <w:pPr>
              <w:pStyle w:val="a6"/>
              <w:numPr>
                <w:ilvl w:val="0"/>
                <w:numId w:val="1"/>
              </w:numPr>
              <w:ind w:left="120" w:firstLine="240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одтыбок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ул.Восточная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5 а (6 кв.)</w:t>
            </w:r>
          </w:p>
        </w:tc>
      </w:tr>
      <w:tr w:rsidR="002475D6" w:rsidRPr="000350CC" w:rsidTr="00751D2A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2475D6" w:rsidP="006E3DD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Демография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796616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«Укрепление общественного здоровья»/</w:t>
            </w:r>
            <w:r w:rsidRPr="00583F1E">
              <w:rPr>
                <w:sz w:val="20"/>
                <w:szCs w:val="20"/>
              </w:rPr>
              <w:t xml:space="preserve">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79661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sz w:val="20"/>
                <w:szCs w:val="20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привычек. Обеспечение к 2024 году увеличения доли граждан, ведущих здоровый образ жизни, за счет формирования среды, способствующей ведению гражданами здорового образа жизни, включая здоровое питание (в том числе ликвидацию </w:t>
            </w:r>
            <w:proofErr w:type="spellStart"/>
            <w:r w:rsidRPr="00583F1E">
              <w:rPr>
                <w:sz w:val="20"/>
                <w:szCs w:val="20"/>
              </w:rPr>
              <w:t>микронутриентной</w:t>
            </w:r>
            <w:proofErr w:type="spellEnd"/>
            <w:r w:rsidRPr="00583F1E">
              <w:rPr>
                <w:sz w:val="20"/>
                <w:szCs w:val="20"/>
              </w:rPr>
              <w:t xml:space="preserve"> недостаточности, сокращение потребления соли и сахара), защиту от табачного дыма, снижение потребления алкоголя; а также за счет мотивирования граждан к ведению здорового образа жизни посредством </w:t>
            </w:r>
            <w:r w:rsidRPr="00583F1E">
              <w:rPr>
                <w:sz w:val="20"/>
                <w:szCs w:val="20"/>
              </w:rPr>
              <w:lastRenderedPageBreak/>
              <w:t>информационно-коммуникационной кампании, вовлечения граждан и некоммерческих организаций в мероприятия по укреплению общественного здоровья и разработки и внедрения корпоративных программ укрепления здоровья</w:t>
            </w:r>
          </w:p>
        </w:tc>
        <w:tc>
          <w:tcPr>
            <w:tcW w:w="2276" w:type="dxa"/>
          </w:tcPr>
          <w:p w:rsidR="0024767D" w:rsidRPr="00762DF5" w:rsidRDefault="0024767D" w:rsidP="00762DF5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64393B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Здравоохранение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EA73A9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sz w:val="20"/>
                <w:szCs w:val="20"/>
              </w:rPr>
              <w:t>Региональный проект «Развитие первичной медико-санитарной помощи»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Снижение смертности населения трудоспособного возраста (до 350 случаев на 100 тыс. населения)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</w:t>
            </w:r>
            <w:r w:rsidRPr="00583F1E">
              <w:rPr>
                <w:sz w:val="20"/>
                <w:szCs w:val="20"/>
              </w:rPr>
              <w:t>Борьба с сердечно-сосудистыми заболеваниями»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Снижение смертности от болезней системы кровообращения (до 450 случаев на 100 тыс. населения)</w:t>
            </w:r>
          </w:p>
        </w:tc>
        <w:tc>
          <w:tcPr>
            <w:tcW w:w="2276" w:type="dxa"/>
          </w:tcPr>
          <w:p w:rsidR="002475D6" w:rsidRPr="00583F1E" w:rsidRDefault="002475D6" w:rsidP="00D037A9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2542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Региональный проект «Программа развития детского здравоохранения Республики</w:t>
            </w:r>
          </w:p>
          <w:p w:rsidR="002475D6" w:rsidRPr="00583F1E" w:rsidRDefault="002475D6" w:rsidP="002542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Коми, включая создание современной инфраструктуры</w:t>
            </w:r>
          </w:p>
          <w:p w:rsidR="002475D6" w:rsidRPr="00583F1E" w:rsidRDefault="002475D6" w:rsidP="0025425C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cs="Times New Roman"/>
                <w:sz w:val="20"/>
                <w:szCs w:val="20"/>
              </w:rPr>
              <w:t>оказания медицинской помощи детям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E7621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DE7621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E7621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Развитие детского здравоохранения, снижение младенческой смертности (с 4,3 до 4 случаев на 1 тыс. родившихся детей)</w:t>
            </w:r>
          </w:p>
        </w:tc>
        <w:tc>
          <w:tcPr>
            <w:tcW w:w="2276" w:type="dxa"/>
          </w:tcPr>
          <w:p w:rsidR="002475D6" w:rsidRPr="00583F1E" w:rsidRDefault="002475D6" w:rsidP="00D037A9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</w:t>
            </w:r>
            <w:r w:rsidRPr="00583F1E">
              <w:rPr>
                <w:sz w:val="20"/>
                <w:szCs w:val="20"/>
              </w:rPr>
              <w:t>Борьба с онкологическими заболеваниями»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-руководителя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Чуркин Алексей Владимирович, главный врач ГБУЗ «Корткеросская центральная районная 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037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lastRenderedPageBreak/>
              <w:t>Снижение смертности от новообразований, в том числе от злокачественных (до 185 случаев на 100 тыс.</w:t>
            </w:r>
          </w:p>
          <w:p w:rsidR="002475D6" w:rsidRPr="00583F1E" w:rsidRDefault="002475D6" w:rsidP="00D037A9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населения)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</w:t>
            </w:r>
            <w:r w:rsidRPr="00583F1E">
              <w:rPr>
                <w:sz w:val="20"/>
                <w:szCs w:val="20"/>
              </w:rPr>
              <w:t>Обеспечение медицинских организаций системы здравоохранения Республики Коми квалифицированными кадрами»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037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Ликвидация кадрового дефицита в медицинских организациях, оказывающих первичную медико-санитарную</w:t>
            </w:r>
          </w:p>
          <w:p w:rsidR="002475D6" w:rsidRPr="00583F1E" w:rsidRDefault="002475D6" w:rsidP="00D037A9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помощь: рост укомплектованности врачами с 54,9 до 90,1%, средним медперсоналом - с 65 до 95%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</w:t>
            </w:r>
            <w:r w:rsidRPr="00583F1E">
              <w:rPr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037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Рост к 2024 г. объема экспорта медицинских услуг в 4 раза по сравнению с 2017 годом. Переход на электронные карты пациентов.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BA07FE" w:rsidRDefault="00BA07FE"/>
    <w:sectPr w:rsidR="00BA07FE" w:rsidSect="00E63F11">
      <w:pgSz w:w="16838" w:h="11906" w:orient="landscape"/>
      <w:pgMar w:top="567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4C6"/>
    <w:multiLevelType w:val="hybridMultilevel"/>
    <w:tmpl w:val="2CCC0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B"/>
    <w:rsid w:val="000350CC"/>
    <w:rsid w:val="00057C50"/>
    <w:rsid w:val="00230EB9"/>
    <w:rsid w:val="002475D6"/>
    <w:rsid w:val="0024767D"/>
    <w:rsid w:val="0025425C"/>
    <w:rsid w:val="002F2191"/>
    <w:rsid w:val="0030243B"/>
    <w:rsid w:val="00307104"/>
    <w:rsid w:val="00310077"/>
    <w:rsid w:val="00342BDC"/>
    <w:rsid w:val="00387CC1"/>
    <w:rsid w:val="003B3DBD"/>
    <w:rsid w:val="00486451"/>
    <w:rsid w:val="004B6FB3"/>
    <w:rsid w:val="004D6255"/>
    <w:rsid w:val="004E3D87"/>
    <w:rsid w:val="004F750F"/>
    <w:rsid w:val="00540FCB"/>
    <w:rsid w:val="00583F1E"/>
    <w:rsid w:val="005D0876"/>
    <w:rsid w:val="005D1636"/>
    <w:rsid w:val="005D3591"/>
    <w:rsid w:val="005E3843"/>
    <w:rsid w:val="005F163D"/>
    <w:rsid w:val="0067275D"/>
    <w:rsid w:val="00684C10"/>
    <w:rsid w:val="006C0C2D"/>
    <w:rsid w:val="006D5A24"/>
    <w:rsid w:val="006E3DDE"/>
    <w:rsid w:val="006E4AAC"/>
    <w:rsid w:val="00762DF5"/>
    <w:rsid w:val="00796616"/>
    <w:rsid w:val="007C2BB6"/>
    <w:rsid w:val="008D5C47"/>
    <w:rsid w:val="009B301B"/>
    <w:rsid w:val="00AB1117"/>
    <w:rsid w:val="00AD0CFA"/>
    <w:rsid w:val="00AD7ABA"/>
    <w:rsid w:val="00B50C69"/>
    <w:rsid w:val="00BA07FE"/>
    <w:rsid w:val="00BB4EC7"/>
    <w:rsid w:val="00C63DC7"/>
    <w:rsid w:val="00D037A9"/>
    <w:rsid w:val="00D1719E"/>
    <w:rsid w:val="00DA7627"/>
    <w:rsid w:val="00E13094"/>
    <w:rsid w:val="00E63F11"/>
    <w:rsid w:val="00EA73A9"/>
    <w:rsid w:val="00ED78E5"/>
    <w:rsid w:val="00F51DD9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BB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B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2B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BB6"/>
    <w:rPr>
      <w:b/>
      <w:bCs/>
    </w:rPr>
  </w:style>
  <w:style w:type="character" w:styleId="a5">
    <w:name w:val="Hyperlink"/>
    <w:basedOn w:val="a0"/>
    <w:uiPriority w:val="99"/>
    <w:semiHidden/>
    <w:unhideWhenUsed/>
    <w:rsid w:val="003071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7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BB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B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2B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BB6"/>
    <w:rPr>
      <w:b/>
      <w:bCs/>
    </w:rPr>
  </w:style>
  <w:style w:type="character" w:styleId="a5">
    <w:name w:val="Hyperlink"/>
    <w:basedOn w:val="a0"/>
    <w:uiPriority w:val="99"/>
    <w:semiHidden/>
    <w:unhideWhenUsed/>
    <w:rsid w:val="003071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rkom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ject.rkomi.ru/pages/obrazovanie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rkomi.ru/page/1445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h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2020-09-07T05:41:00Z</cp:lastPrinted>
  <dcterms:created xsi:type="dcterms:W3CDTF">2023-02-13T08:22:00Z</dcterms:created>
  <dcterms:modified xsi:type="dcterms:W3CDTF">2023-02-16T07:45:00Z</dcterms:modified>
</cp:coreProperties>
</file>