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5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5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показателям эффективности деятельности органов местного самоуправления муниципального района «Корткеросский»</w:t>
      </w:r>
    </w:p>
    <w:p>
      <w:pPr>
        <w:pStyle w:val="5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2024 год и их планируемых значениях на 3-летний период</w:t>
      </w:r>
    </w:p>
    <w:p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p>
      <w:pPr>
        <w:pStyle w:val="5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Экономическое развитие</w:t>
      </w:r>
    </w:p>
    <w:p>
      <w:pPr>
        <w:pStyle w:val="50"/>
        <w:shd w:val="clear" w:color="auto" w:fill="auto"/>
        <w:spacing w:line="240" w:lineRule="auto"/>
        <w:rPr>
          <w:sz w:val="28"/>
          <w:szCs w:val="28"/>
          <w:highlight w:val="yellow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1. Число субъектов малого и среднего предпринимательства в расчете на 10 тыс. человек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195,3 единицы, что соответствует уровню 2023 года. </w:t>
      </w: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Указанный показатель рассчитан на основе данных сплошного наблюдения за деятельностью субъектов малого и среднего предпринимательства за 2020 год и применяется в течение последующих 5 лет, до следующего </w:t>
      </w:r>
      <w:r>
        <w:rPr>
          <w:rFonts w:ascii="Times New Roman" w:eastAsia="Times New Roman" w:hAnsi="Times New Roman" w:cs="Arial"/>
          <w:sz w:val="28"/>
          <w:szCs w:val="28"/>
          <w:lang w:eastAsia="en-US"/>
        </w:rPr>
        <w:t>сплошного статистического наблюдения за деятельностью субъектов малого и среднего предпринимательства Республики Коми.  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асчет показателя напрямую зависит от численности населения муниципального района и количества субъектов малого и среднего предпринимательства (далее – субъектов МСП) в период проведения сплошного наблюдения.  </w:t>
      </w:r>
    </w:p>
    <w:p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официальным статистическим данным, на 1 января 2024 года было зарегистрировано 355 индивидуальных предпринимателей или 104,7% к аналогичному периоду прошлого года. На 1 января 2025 года в муниципальном районе «Корткеросский» было зарегистрировано 374 индивидуальных предпринимателей, или 105,6% к аналогичному периоду прошлого года. По итогам сплошного наблюдения за деятельностью субъектов малого и среднего предпринимательства за 2020 год, было зарегистрировано 269 индивидуальных предпринимателя. В 2025-2027 годах этот показатель будет расти за счет увеличения численности предпринимателей.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Наибольшая доля индивидуальных предпринимателей работает в сфере розничной торговли (30,2%), строительства (12,8%), транспортировки и хранения (13,4%), а также сельского и лесного хозяйства (11%).</w:t>
      </w: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области малого и среднего предпринимательства основной задачей является разработка мероприятий по поддержке и развитию малого и среднего предпринимательства в районе. Основным инструментом реализации государственной политики в сфере развития предпринимательства в 2024 году являлась Подпрограмма «Малое и среднее предпринимательство в муниципальном районе «Корткеросский» муниципальной программы «Развитие экономики» (далее – Подпрограмма), в рамках которой продолжалась работа по разработке мероприятий, направленных на решение проблемных вопросов развития малого и среднего предпринимательств.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оказана финансовая поддержка двум субъектам малого и среднего предпринимательства (ИП Шкляева Н.В. и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Зюзев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С.В.)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форме субсидий на компенсацию части затрат, связанных с приобретением оборудования для создания и/или развития либо модернизации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производства товаров (работ, услуг), а также на реализацию народных проектов в сфере малого и среднего предпринимательства, отобранных в рамках проекта «Народный бюджет». Общий объем финансовой поддержки составил 2 637,6 тыс. руб. Финансирование осуществлялось за счет средств республиканского бюджета Республики Коми (993,6 тыс. руб.), бюджета муниципального района «Корткеросский» (144,0 тыс. руб.) и в рамках соглашения о социально-экономическом партнерстве с АО «СЛПК» (1500,0 тыс. руб.).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оказанной поддержки было создано 4 дополнительных рабочих места на предприятиях –получателей поддержки.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последующие годы реализация подпрограммы поддержки предпринимательства будет продолжена и будет способствовать техническому перевооружению, снижению изношенности основных средств, модернизации производства, созданию новых рабочих мест в районе.</w:t>
      </w: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22,9%, что что соответствует уровню 2023 года. Указанный показатель рассчитан на основе данных сплошного наблюдения за деятельностью субъектов малого и среднего предпринимательства за 2020 год. Указанный показатель напрямую зависит от количества субъектов малого и среднего предпринимательства, в период проведения сплошного наблюдения.</w:t>
      </w: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Для сохранения и развития малого бизнеса, в том числе социального, на территории муниципального района действуют меры информационной, образовательной, имущественной поддержки.</w:t>
      </w: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года администрацией района проводится консультационная поддержка лиц, желающих организовать свое дело, осуществляется взаимодействие с Центром занятости населения.  Ведется активная работа по информированию субъектов МСП о мерах поддержки в Республике Коми и в районе, об изменениях в законодательстве и другие актуальные новости, посредством размещения информации на официальном сайте,  в  группах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 администрации района и «Малое и среднее предпринимательство Корткеросский район», а так же посредством рассылки информации  на электронные адреса, через глав сельских поселений.</w:t>
      </w:r>
    </w:p>
    <w:p>
      <w:pPr>
        <w:suppressLineNumbers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для субъектов малого и среднего предпринимательства и граждан, желающих организовать собственное дело,  было проведено 8 мероприятий (Координационный совет МСП, тренинги, семинары, круглые столы и др.), в которых приняли участие</w:t>
      </w:r>
      <w:r>
        <w:rPr>
          <w:rFonts w:ascii="Arial" w:eastAsia="Times New Roman" w:hAnsi="Arial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60 субъектов МСП и граждан, желающих организовать собственное дело.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последующие годы работа в данном направлении для улучшения показателя будет продолжена.  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</w:pP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3. Объем инвестиций в основной капитал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(за исключением бюджетных средств) в расчете на 1 жителя в 2024 году по предварительным данным составил 15990,7 рублей, или 100,5 % к 2023 году. Увеличение показателя произошло в связи с ростом объёма инвестиций в основной капитал коммерческих организаций (без учета малых предприятий) по сравнению с прошлым годом. Прогнозируется, что на период до 2027 года объём инвестиций в расчете на 1 человека составит до 10,0 тыс. рублей.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улучшения данного показателя администрацией района разработан и постоянно актуализируется инвестиционный паспорт МО МР «Корткеросский», который размещается на официальном сайте администрации. В соответствии с методическими рекомендациями, утвержденными приказом Минэкономразвития России от 26.09.2023 г. № 672 и в целях повышения инвестиционного и экономического потенциала муниципального района «Корткеросский» в 2024 году проведена работа по внедрению муниципального инвестиционного стандарта в МО МР «Корткеросский», принята вся необходимая нормативная база (в том числе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 инвестиционных проектов).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 сайте администрации создан раздел «Инвестиционная деятельность», в котором размещены:</w:t>
      </w:r>
    </w:p>
    <w:p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Инвестиционный паспорт района;</w:t>
      </w:r>
    </w:p>
    <w:p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 «Инвестиционные проекты и предложения», в котором содержится актуальная информация о планируемых и реализуемых на территории муниципального образования инвестиционных проектах</w:t>
      </w:r>
    </w:p>
    <w:p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подраздел «База инвестиционных площадок»; </w:t>
      </w:r>
    </w:p>
    <w:p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актуальная информация об объектах недвижимого имущества, включенного перечень муниципального имущества, предназначенного для субъектов МСП, свободного от прав третьих лиц</w:t>
      </w: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Один раз в полугодие обновляется реестр инвестиционных проектов и реестр инвестиционных площадок. </w:t>
      </w:r>
    </w:p>
    <w:p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В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2024 году завершена реализация инвестиционного проекта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«Телятник на 150 голов в с. Нившера Корткеросского района Республики Коми» (ООО «Нившера»), общей 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23,14 млн руб., включая финансирование из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комплекса» (13,46 млн руб.), муниципальной программы «Развитие экономики» (1,5 млн руб.) и АО «Агрокомплекс» (3,2 млн руб.). Реализация проекта позволила создать 2 дополнительных рабочих места.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В 2025 году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завершается реализация инвестиционного проекта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«Сухостойный двор с родильным отделением в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Выльыб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(СПК «Исток»).</w:t>
      </w:r>
      <w:r>
        <w:rPr>
          <w:rFonts w:ascii="Times New Roman" w:eastAsia="Times New Roman" w:hAnsi="Times New Roman" w:cs="Times New Roman"/>
          <w:sz w:val="28"/>
          <w:szCs w:val="28"/>
        </w:rPr>
        <w:t> Общая стоимость проекта составляет 99,81 млн руб. Плановая дата завершения проекта — 3 квартал 2025 года.</w:t>
      </w: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Планируются к реализации в 2025-2026 г следующие инвестиционные проекты:</w:t>
      </w:r>
    </w:p>
    <w:p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 коровника на 140 голов в с. Богородск, инициатор проекта СПК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Вишерский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 коровника с молочным блоком до 320 голов КРС в с. Небдино, инициатор проекта ООО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Небдинский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 роботизированной фермы на 140 голов КРС в с. Нившера, инициатор проекта ООО «Нившера».</w:t>
      </w: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2025 году указанные инициаторы проектов продолжают разработку проектно-сметной документации по строительству животноводческих помещений. 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по улучшению инвестиционного климата будет продолжена в последующие годы.</w:t>
      </w:r>
    </w:p>
    <w:p>
      <w:pPr>
        <w:pStyle w:val="20"/>
        <w:shd w:val="clear" w:color="auto" w:fill="auto"/>
        <w:spacing w:line="240" w:lineRule="auto"/>
        <w:ind w:firstLine="567"/>
        <w:jc w:val="both"/>
        <w:rPr>
          <w:rStyle w:val="211"/>
          <w:rFonts w:eastAsia="Calibri"/>
          <w:sz w:val="28"/>
          <w:szCs w:val="28"/>
          <w:highlight w:val="yellow"/>
        </w:rPr>
      </w:pPr>
    </w:p>
    <w:p>
      <w:pPr>
        <w:pStyle w:val="20"/>
        <w:shd w:val="clear" w:color="auto" w:fill="auto"/>
        <w:spacing w:line="240" w:lineRule="auto"/>
        <w:ind w:firstLine="567"/>
        <w:jc w:val="both"/>
        <w:rPr>
          <w:rStyle w:val="2115pt"/>
          <w:color w:val="auto"/>
          <w:sz w:val="28"/>
          <w:szCs w:val="28"/>
          <w:highlight w:val="yellow"/>
        </w:rPr>
      </w:pPr>
    </w:p>
    <w:p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плановые показатели выполнены в полном объеме, что обусловлено выкупом земельных участков физическими и юридическими лицами, а также регистрацией права собственности граждан в рамках проведения работ по Федеральному закону от 30.12.2020 № 518-ФЗ.</w:t>
      </w:r>
    </w:p>
    <w:p>
      <w:pPr>
        <w:widowControl w:val="0"/>
        <w:spacing w:after="0" w:line="240" w:lineRule="auto"/>
        <w:ind w:firstLine="567"/>
        <w:jc w:val="both"/>
        <w:rPr>
          <w:rStyle w:val="2115pt"/>
          <w:rFonts w:eastAsiaTheme="minorEastAsia"/>
          <w:color w:val="auto"/>
          <w:sz w:val="28"/>
          <w:szCs w:val="28"/>
          <w:highlight w:val="yellow"/>
        </w:rPr>
      </w:pP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>5. Доля прибыльных сельскохозяйственных организаций в общем их числе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2024 году составляет 100%, показатель выполнен.</w:t>
      </w:r>
      <w:r>
        <w:rPr>
          <w:rFonts w:eastAsiaTheme="minorHAnsi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7 сельскохозяйственных предприятий, по итогам 2024 года, с учетом государственной поддержки, являются прибыльными.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2024 году, как и в предыдущие годы, администрация района оказывала финансовую поддержку сельхозтоваропроизводителям в рамках   подпрограммы «Развитие сельского хозяйства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  регулирования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рынков сельскохозяйственной продукции, сырья и продовольствия» муниципальной программы «Развитие экономики» (далее - Подпрограмма).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Подпрограммы, субъектам агропромышленного комплекса оказана финансовая поддержка на общую сумму 3 718,0 тыс. рублей. Финансирование осуществлялось за счет средств республиканского бюджета (1 500,0 тыс. рублей) и бюджета МО МР «Корткеросский» (2 218,0 тыс. рублей, в том числе 2 000,0 тыс. рублей в рамках Соглашения о социально-экономическом сотрудничестве с АО «СЛПК»). Реализация указанных мер способствовала созданию 3 дополнительных рабочих мест.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СПК «Исток» получил субсидию в размере 2000,0 тыс. рублей на приобретение оборудования в рамках реализации инвестиционного проекта «Приобретение оборудования для сухостойного двора с родильным отделением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Выльыб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Корткеросского района Республики Коми». В рамках проекта были приобретены поилки с подогревом, система удаления навоза, скреперный транспортер горизонтального типа и маты-подстилки «Забота».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Сельскохозяйственному кооперативу «МИЯН» оказана финансовая поддержка в размере 1 718,0 тыс. рублей в рамках реализации проектов «Народный бюджет» в сфере агропромышленного комплекса по проекту «Приобретение оборудования для убойного пункта и цеха по переработке мяса КРС в с. Корткерос». Общая стоимость проекта составила 2 180,0 тыс. рублей, включающая финансирование из республиканского бюджета Республики Коми (1 500,0 тыс. рублей), бюджета муниципального района «Корткеросский» (218,0 тыс. рублей) и собственных средств кооператива (462,0 тыс. рублей). Приобретено необходимое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для оснащения убойного пункта и цеха по переработке мяса. 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последующем, для улучшения данного показателя реализация мер поддержки сельскохозяйственных организаций будет продолжена.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15pt"/>
          <w:rFonts w:eastAsiaTheme="minorHAnsi"/>
          <w:b/>
          <w:color w:val="auto"/>
          <w:sz w:val="28"/>
          <w:szCs w:val="28"/>
        </w:rPr>
        <w:t xml:space="preserve">5.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составила в 2024 г – 21,3%. Рост показателя произошел в связи с сокращением объема финансирования мероприятий по ремонту автомобильных дорог общего пользования местного значения, планируется, что в связи с дальнейшим износом дорожного полотна данный показатель возрастет до 32%. </w:t>
      </w:r>
    </w:p>
    <w:p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15pt"/>
          <w:rFonts w:eastAsiaTheme="minorHAnsi"/>
          <w:b/>
          <w:color w:val="auto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составила в 2024 году 1,18%, показатель за отчетный период не изменился.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pStyle w:val="20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  <w:lang w:eastAsia="en-US"/>
        </w:rPr>
      </w:pPr>
      <w:r>
        <w:rPr>
          <w:rStyle w:val="2115pt"/>
          <w:b/>
          <w:color w:val="auto"/>
          <w:sz w:val="28"/>
          <w:szCs w:val="28"/>
        </w:rPr>
        <w:tab/>
      </w:r>
      <w:r>
        <w:rPr>
          <w:rStyle w:val="2115pt"/>
          <w:b/>
          <w:color w:val="auto"/>
          <w:sz w:val="28"/>
          <w:szCs w:val="28"/>
        </w:rPr>
        <w:tab/>
      </w:r>
      <w:bookmarkStart w:id="0" w:name="bookmark2"/>
      <w:r>
        <w:rPr>
          <w:b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8. Среднемесячная номинальная начисленная заработная плата </w:t>
      </w:r>
      <w:r>
        <w:rPr>
          <w:b/>
          <w:i/>
          <w:sz w:val="28"/>
          <w:szCs w:val="28"/>
        </w:rPr>
        <w:t xml:space="preserve">работников </w:t>
      </w:r>
      <w:r>
        <w:rPr>
          <w:sz w:val="28"/>
          <w:szCs w:val="28"/>
          <w:lang w:eastAsia="en-US"/>
        </w:rPr>
        <w:t>крупных и средних предприятий и некоммерческих организаций по району увеличилась на 13,1 % и составила в 2024 году 59749,0 рублей. Прирост зарплаты в 2022 на 12,2 %, в 2023 году на 9,3 %, в 2024 году на 13,1% в связи с ростом МРОТ, на перспективу прогнозируется ежегодный прирост на уровень прогнозного прироста инфляции и увеличения МРОТ.</w:t>
      </w:r>
    </w:p>
    <w:p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работников муниципальных дошкольных образовательных учреждений увеличилась на 15,8%, общеобразовательных учреждений- на 16,5 %, учителей - на 25,7%, работников культуры - на 17%, работников муниципальных учреждений физической культуры и спорта- на 22,4% Рост заработной платы обусловлен темпами роста экономики, а также ежегодным осуществлением мер по повышению оплаты труда работников муниципальных учреждений (ежегодное увеличение МРОТ, повышение целевых показателей средней заработной платы отдельных категорий работников, индексация должностных окладов с 01.10.2024г., 01.11.2024г. на 10%).</w:t>
      </w:r>
    </w:p>
    <w:p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значения показателей проводились мероприятия:</w:t>
      </w:r>
    </w:p>
    <w:p>
      <w:pPr>
        <w:pStyle w:val="20"/>
        <w:numPr>
          <w:ilvl w:val="0"/>
          <w:numId w:val="29"/>
        </w:numPr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Указа Президента Российской Федерации от 7 мая 2012 года № 597 «О мероприятиях по реализации государственной социальной политики», в части проведения мероприятий по повышению средней заработной платы работников образовательных учреждений и учреждений культуры и ежегодное увеличение минимального размера оплаты труда.</w:t>
      </w:r>
    </w:p>
    <w:p>
      <w:pPr>
        <w:pStyle w:val="20"/>
        <w:numPr>
          <w:ilvl w:val="0"/>
          <w:numId w:val="29"/>
        </w:numPr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мониторинг по оплате труда работников бюджетных учреждений.</w:t>
      </w:r>
    </w:p>
    <w:p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по выплате заработной платы работникам бюджетной сферы в 2024 году выполнены.</w:t>
      </w:r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bookmarkEnd w:id="0"/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Доля детей в возрасте 1 - 6 лет, получающих дошкольную образовательную услугу и (или) услугу по их содержанию в муниципальных образовательных   организациях, в общей численности детей в возрасте 1 - 6 лет</w:t>
      </w:r>
      <w:r>
        <w:rPr>
          <w:rFonts w:ascii="Times New Roman" w:hAnsi="Times New Roman" w:cs="Times New Roman"/>
          <w:sz w:val="28"/>
          <w:szCs w:val="28"/>
        </w:rPr>
        <w:t>, в 2024 году сни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зилась и составила 69,9 % (2023 г. – 75,6 %). Причина снижения: снижение численности населения данной возрастной категории. По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численность детей от 1 года до 6 лет составила 1358 чел. (2023 г. – 1066 чел.). Количество детей раннего и дошкольного возраста, получающих услугу дошкольного образования в организациях, составляет 746 воспитанников (2023 г. - 804 человека). Остальной процент детей, не посещающих дошкольные учреждения, это - дети от 0 до 1,5 лет, с которыми находятся матери в отпуске по уходу за ребёнком, имеющие материальную возможность и желание осуществлять воспитание ребёнка раннего возраста в домашних условиях; и дети-инвалиды, не посещающие дошкольные образовательные организации по состоянию здоровья (тяжёлые патологии), а также дети, чьи родители предпочитают семейную форму получения дошкольного образования, а также дети с родителями (законными представителями) прописанные в Корткеросском районе, но не проживающие. В районе доступность дошкольного образования для детей от 2 месяцев до 7 лет составляет 100%. В электронной системе «Е-услуги. Образование» детей данного возраста находится в очереди 31 ребенок, так как согласно заявлениям родителей (законных представителей) желаемая дата для зачисления в детский сад не наступила. 31 ребенок будет зачислен в предпочитаемые их родителями (законными представителями) детские сады при наступлении желаемой даты зачисления.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отсутствует очередность в дошкольных учреждениях. Проводится работа по зачислению детей раннего дошкольного возраста в детские сады. Вместе с тем более 20% детей, данной возрастной категории, зарегистрированных в Корткеросском районе, проживают за пределами района.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Очередь в муниципальные дошкольные образовательные организации детей в возрасте от 3-х до 7 лет, проживающих на территории района, отсутствует. Все дети данного возраста зачислены в детские сады, доступность дошкольного образования составляет 100%.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МО МР «Корткеросский» на 1 января 2025 года функционирует 9 муниципальных дошкольных образовательных организаций различного вида: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садов – 7;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садов общеразвивающего вида – 2.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дошкольные группы в 9 общеобразовательных организациях.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созданы условия для присмотра, ухода и получения дошкольного образования для детей  детей-инвалидов - 13, из них имеющих статус ОВЗ – 10 детей; детей дошкольного возраста со статусом ОВЗ - 5. Общая укомплектованность дошкольных учреждений составляет 82,9 % (2023 г. – 90.8 %), имеются вакантные места для детей в возрасте до 3 лет и в возрасте от 3 до 7 лет.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 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</w:r>
      <w:r>
        <w:rPr>
          <w:rFonts w:ascii="Times New Roman" w:hAnsi="Times New Roman" w:cs="Times New Roman"/>
          <w:sz w:val="28"/>
          <w:szCs w:val="28"/>
        </w:rPr>
        <w:t xml:space="preserve"> составила 3,66 % (2023 г. – 3,50 %). Показатель улучшился. По данным государственной информационной системы «Электронное образование» на 1 января 2023 года количество детей в возрасте с 1 года до 6 лет, поставленных на учет согласно заявлениям родителей – 31 человек. Данная категория детей не являются очередниками, а относится к категории будущих воспитанников, т.е. согласно заявлениям родителей (законных представителей) желаемая дата в дошкольную организацию еще не наступила. В образовательные организации данная категория детей зачисляется сразу после предоставления родителями определенного пакета документов. Дефицит мест в дошкольных образовательных организациях отсутствует.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pStyle w:val="msonospacingmrcssattr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b/>
          <w:i/>
          <w:sz w:val="28"/>
          <w:szCs w:val="28"/>
        </w:rPr>
        <w:t>11.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</w:r>
      <w:r>
        <w:rPr>
          <w:sz w:val="28"/>
          <w:szCs w:val="28"/>
        </w:rPr>
        <w:t xml:space="preserve"> </w:t>
      </w:r>
      <w:bookmarkStart w:id="2" w:name="bookmark4"/>
      <w:r>
        <w:rPr>
          <w:color w:val="2C2D2E"/>
          <w:sz w:val="28"/>
          <w:szCs w:val="28"/>
        </w:rPr>
        <w:t xml:space="preserve">составляет – 33,3 %. Требуют капитального ремонта детский сад </w:t>
      </w:r>
      <w:proofErr w:type="spellStart"/>
      <w:r>
        <w:rPr>
          <w:color w:val="2C2D2E"/>
          <w:sz w:val="28"/>
          <w:szCs w:val="28"/>
        </w:rPr>
        <w:t>п.Усть-Лэкчим</w:t>
      </w:r>
      <w:proofErr w:type="spellEnd"/>
      <w:r>
        <w:rPr>
          <w:color w:val="2C2D2E"/>
          <w:sz w:val="28"/>
          <w:szCs w:val="28"/>
        </w:rPr>
        <w:t xml:space="preserve"> и МДОУ "Детский сад №1 с. Корткерос", МДОУ "Детский сад № 5".</w:t>
      </w:r>
    </w:p>
    <w:p>
      <w:pPr>
        <w:pStyle w:val="msonospacingmrcssattr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Для улучшения показателя требуется участие в программе по капитальному ремонту зданий дошкольных организаций, ежегодно в организациях проводятся ремонты зданий, помещений, систем водоснабжения и водоотведения, пищеблоков.</w:t>
      </w:r>
    </w:p>
    <w:p>
      <w:pPr>
        <w:pStyle w:val="msonospacingmrcssattr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highlight w:val="yellow"/>
          <w:lang w:bidi="ru-RU"/>
        </w:rPr>
      </w:pPr>
    </w:p>
    <w:p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Общее и дополнительное образование</w:t>
      </w:r>
    </w:p>
    <w:p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13.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2024 году составила 2,63 % (2023 г. – 0 %). Два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совершеннолетних выпускника 11 классов не получили аттестат, не преодолели порог по обязательным предметам, в резервные дни от пересдачи отказались, соответственно не получили аттестат о среднем общем образовании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целях повышения эффективности подготовки выпускников разработаны и утверждены: Программа повышения качества образования на 2023-2024 учебный год, Дорожная карта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МО МР «Корткеросский» в 2023-2024 учебном году.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14.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составила 83,75 % (2023 г. – 84,17 %). 100% общеобразовательных организаций оборудованы всеми современными требованиями обучения (воздушно-тепловой режим: центральное отопление и котельные, холодное и горячее водоснабжение, инженерные сети канализаций, электроснабжение, автоматическая пожарная сигнализация). В учреждениях имеются спортивные залы для проведения уроков физкультуры, организовано качественное горячее питание, имеются кабинеты библиотеки, компьютерные классы, а также подключение к сети Интернет.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Показатель уменьшился в связи с увеличением потребности в капитальном ремонте зданий. Ежегодно выполняются мероприятия по качественному и своевременному устранению замечаний Управления Роспотребнадзора, но, между тем, требования к оснащению в школах пищеблоков, санузлов и т.д. ежегодно и постоянно повышаются.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15.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</w:t>
      </w:r>
      <w:r>
        <w:rPr>
          <w:rFonts w:ascii="Times New Roman" w:hAnsi="Times New Roman" w:cs="Times New Roman"/>
          <w:bCs/>
          <w:iCs/>
          <w:sz w:val="28"/>
          <w:szCs w:val="28"/>
        </w:rPr>
        <w:t>в 2024 году составляла 73,33 % (2023 г. – 73,33%). Показатель остался неизменным, так как школа с. Небдино, реализует двухгодичный цикл выполнения работ по капитальному ремонту. Для улучшения показателя ежегодно в учреждениях образования проводятся текущие и капитальные ремонты.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2024 году ведется работа по капитальному ремонту школы с. Небдино. В 2025 году вошла в программу по капитальному ремонту школа п.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Аджером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 2026 г. вошла в программу по капитальному ремонту школа с. Корткерос, в 2027 г. в программу по капитальному ремонту вошли школы с. Нившера (основное здание) и с.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Большелуг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Пока не вошли в программу, но имеют положительные заключения школы с. Мордино и п.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Так же, разрабатывается сметная документация для включения в отбор по капитальному ремонту структурных подразделений "Детский сад" п. Подтыбок и "Детский сад" п. Приозерный в период на 2027-2030 г. А также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требуют капитального ремонта здания школ п.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Намск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Керес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(данные включены в ОО-2).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16. Доля детей первой и второй групп здоровья в общей численности обучающихся в муниципальных общеобразовательных   организациях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2024 году увеличилась и составила 93,6 % (2022 г. – 92,43 %). В течение 2024 года в образовательных организациях проводились мероприятия по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общешкольными программами: мероприятия по профилактике гриппа, новой коронавирусной инфекции и острых вирусных заболеваний, диагностика и мониторинг состояния здоровья школьников, санитарно-просветительская работа. Каждый школьник начального звена обеспечен горячим питанием, учащиеся привлекаются к занятиям во внеурочное время в спортивных секциях, действующих в школах и в учреждениях дополнительного образования.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учебного года были предоставлены меры социальной поддержки по организации бесплатного питания учащимся 1-4 классов.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17.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составила в 2024 году 5,4% (2023 г. – 6,49%). Только в МОУ «СОШ» с. Корткерос обучаются дети в две смены. Незначительное уменьшение показателя в 2024 году произошло за счет максимального перевода детей в первую смену в МОУ «СОШ» с. Корткерос. В прогнозном периоде показатель останется на уровне 5% и будет увеличиваться за счет снижения количества обучающихся в районе. Полностью уйти от второй смены возможно только при строительстве новой пристройки начальной школы к основному зданию МОУ «СОШ» с. Корткерос.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18. Расходы бюджета муниципального образования на общее образование в расчете на 1 обучающегося в муниципальных общеобразовательных учреждениях </w:t>
      </w:r>
      <w:r>
        <w:rPr>
          <w:rFonts w:ascii="Times New Roman" w:hAnsi="Times New Roman" w:cs="Times New Roman"/>
          <w:bCs/>
          <w:iCs/>
          <w:sz w:val="28"/>
          <w:szCs w:val="28"/>
        </w:rPr>
        <w:t>увеличился и составили 26,4 тыс. рублей, т.е. на 22,8% (2023 г. – 20,35 тыс. руб.). Увеличились расходы на доведение до МРОТ, повышение окладов у педагогического персонала, индексации коммунальных расходов и расходов на содержание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19.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>
        <w:rPr>
          <w:rFonts w:ascii="Times New Roman" w:hAnsi="Times New Roman" w:cs="Times New Roman"/>
          <w:bCs/>
          <w:iCs/>
          <w:sz w:val="28"/>
          <w:szCs w:val="28"/>
        </w:rPr>
        <w:t>в 2024 году уменьшилось по сравнению с аналогичным периодом прошлого года и составила 84,9 % (2023 г. – 89,7 %).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Снижение показателя обусловлено разницей между статистической численностью детей в возрасте от 5 до 18 лет и фактической численностью детей данного возраста, проживающих в муниципалитете и обучающихся в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общеобразовательных организациях, или являющихся воспитанниками дошкольных учреждений района.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Вместе с тем, для привлечения детей в организации дополнительного образования, проводятся Дни открытых дверей, акции, мероприятия, отчетные концерты, постоянно размещается информация в средствах массовой информации, официальных сайтах организаций. Проводятся социологические опросы учащихся и родителей с целью определения направления работы учреждений.</w:t>
      </w:r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Культура</w:t>
      </w:r>
      <w:bookmarkEnd w:id="2"/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20. Уровень фактической обеспеченности учреждениями культуры от нормативной потребности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</w:p>
    <w:p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клубами и учреждениями клубного типа составил 66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(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прогнозном периоде 2025–2027 год показатель не изменится);  </w:t>
      </w:r>
    </w:p>
    <w:p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библиотеками - 100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соответствии с Распоряжением Правительства РФ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22.12.2017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№ 2905-р и на основании Распоряжения Минкультуры РФ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02.08.2017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№ Р-965 норма библиотек составляет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тыс. населения. В МО МР «Корткеросский» функционирует одно бюджетное учреждение, включающее в себя 22 библиотеки – филиала. В 2025–2027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г.г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. планируется сохранение показателя.</w:t>
      </w:r>
    </w:p>
    <w:p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парками культуры и отдыха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0 %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(2022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0 %).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На 2025-2027 годы показатель не изменится.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составила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2024 году 9,5 % (2023 г. – 11,09 %).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Снижение показателя связано с тем, что были изменены исходные данные для расчета, в отрасли проведена работа по передаче в оперативное управлений помещений для библиотек (ранее филиалы размещались на основании договоров безвозмездного пользования в домах культуры), что увеличило общее количество зданий. Изменение показателя в положительной динамике в прогнозном периоде на 2025-2027 годы возможно при условии нового строительства объектов культуры.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стратегической карте развития (строительства, реконструкции, капитального ремонта) объектов инфраструктуры сферы культуры на территории Республики Коми определены сроки строительства и реконструкции объектов в Корткеросском районе:</w:t>
      </w:r>
    </w:p>
    <w:p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 культуры со зрительным залом на 150 мест в с. Сторожевск; </w:t>
      </w:r>
    </w:p>
    <w:p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 культуры на 100 мест с библиотекой в с. Богородск;</w:t>
      </w:r>
    </w:p>
    <w:p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 культуры на 100 мест с библиотекой в п.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Аджером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 культуры на 49 мест с библиотекой в 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Керес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реконструкция существующего здания кинотеатра «Союз» в привязке с существующим проектом «Пристройка к кинотеатру «Союз»;</w:t>
      </w:r>
    </w:p>
    <w:p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строительство «Корткеросской районной школы искусств на 150 мест, с концертным залом».</w:t>
      </w: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составила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50 % (2023 г. – 50 %).</w:t>
      </w:r>
      <w:r>
        <w:rPr>
          <w:rFonts w:eastAsiaTheme="minorHAnsi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2025-2027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г.г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показатель не изменится.</w:t>
      </w:r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bookmarkEnd w:id="3"/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23. Доля населения, систематически занимающаяся физической культурой и спортом,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2024 году составила 57,39 %, что на 8,39 % больше, чем за предыдущий год. Показатель увеличился в связи улучшением качества предоставления услуг муниципальными бюджетными учреждениями спорта, а также проведением акций: «День открытых дверей» (все желающие могу посетить объекты спорта бесплатно), «Успешная семья» (посещение физкультурно-спортивных учреждений на льготной основе). </w:t>
      </w: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23 (1). В 2023 году доля обучающихся, систематически занимающихся физической культурой и спортом,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общей численности обучающихся составил 92,25 %. Показатель находиться на высоком уровне в связи с качественной работой образовательных учреждений, спортивных школ МБУДО «Корткеросская детско-юношеская спортивная школа» и МБУДО «Комплексная детско-юношеская спортивная школа с.Корткерос», МБУ «Центр спортивных мероприятий Корткеросского района».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b/>
          <w:sz w:val="28"/>
          <w:szCs w:val="28"/>
        </w:rPr>
        <w:t>Жилищное строительство и обеспечение граждан жильем</w:t>
      </w:r>
      <w:bookmarkEnd w:id="4"/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24. </w:t>
      </w: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Общая площадь жилых помещений, приходящаяся в среднем на одного жителя,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составила 37,74 </w:t>
      </w:r>
      <w:proofErr w:type="spellStart"/>
      <w:proofErr w:type="gram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кв.м</w:t>
      </w:r>
      <w:proofErr w:type="spellEnd"/>
      <w:proofErr w:type="gram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в том числе введённых в действие за 2024 год – 0,9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что на 0,06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больше, чем в прошлом году. Показатели увеличились по сравнению с прошлым годом, в связи со строительством многоквартирных и блокированных жилых домов в рамках реализации программы переселения граждан из аварийного жилищного фонда и увеличением ввода в </w:t>
      </w:r>
      <w:proofErr w:type="gram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эксплуатацию  индивидуальных</w:t>
      </w:r>
      <w:proofErr w:type="gram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жилых домов.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>
      <w:pPr>
        <w:widowControl w:val="0"/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Площадь земельных участков, предоставленных для строительства в расчете на 10 тыс. человек населения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увеличилась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сравнению с прошлым годом на 0,30 гектара и составила 13,75 гектаров. Это обусловлено увеличением строительной активности многоквартирных и блокированных жилых домов в рамках реализации программы переселения граждан из аварийного жилищного фонда, а также строительства ИЖС.</w:t>
      </w:r>
    </w:p>
    <w:p>
      <w:pPr>
        <w:widowControl w:val="0"/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Площадь земельных участков, предоставленных для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аукционов), не было получено разрешение на ввод в эксплуатацию: объектов жилищного строительства - в течение 3 лет и иных объектов капитального строительства - в течение 5 лет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представленными в администрацию МО МР «Корткеросский» заявлениями, разрешения на ввод в эксплуатацию объектов строительства выданы всем заявителям. В 2023 году выдано 77 разрешения на строительство и 28 разрешений на ввод объекта в эксплуатацию (жилые и нежилые объекты, объекты производственного назначения). </w:t>
      </w:r>
    </w:p>
    <w:p>
      <w:pPr>
        <w:pStyle w:val="101"/>
        <w:shd w:val="clear" w:color="auto" w:fill="auto"/>
        <w:tabs>
          <w:tab w:val="left" w:pos="433"/>
        </w:tabs>
        <w:spacing w:before="0" w:line="240" w:lineRule="auto"/>
        <w:ind w:left="567"/>
        <w:rPr>
          <w:b/>
          <w:sz w:val="28"/>
          <w:szCs w:val="28"/>
          <w:highlight w:val="yellow"/>
        </w:rPr>
      </w:pPr>
    </w:p>
    <w:p>
      <w:pPr>
        <w:pStyle w:val="101"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>
      <w:pPr>
        <w:pStyle w:val="101"/>
        <w:shd w:val="clear" w:color="auto" w:fill="auto"/>
        <w:tabs>
          <w:tab w:val="left" w:pos="433"/>
        </w:tabs>
        <w:spacing w:before="0" w:line="240" w:lineRule="auto"/>
        <w:rPr>
          <w:i w:val="0"/>
          <w:sz w:val="28"/>
          <w:szCs w:val="28"/>
          <w:highlight w:val="yellow"/>
        </w:rPr>
      </w:pP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bookmark7"/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составила 62,5 %. Показатель уменьшился, по сравнению с прошлым годом, в связи с тем, что у назначенной временной управляющей компании окончился срок управления многоквартирными домами и собственники жилых помещений не выбрали способ управления.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28. Доля организаций коммунального комплекса, осуществляющих производство товаров, оказание услуг по водо-, 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района составляет 60% .</w:t>
      </w:r>
    </w:p>
    <w:p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 количество организаций коммунального комплекса, оказывающих услуги на территории муниципального района – 5, в том числе с участием в уставном капитале субъекта или муниципального района – 2 (АО «Коми тепловая компания, МУП «Успех»). В прогнозном периоде на 2025 – 2027 гг. показатель планируется на том же уровне.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5"/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29.</w:t>
      </w: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 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плановые показатели выполнены в полном объеме.</w:t>
      </w: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2024 году поставлены на кадастровый учет земельные участки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с.Сторожевск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п.Намск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п.Приозерный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с.Корткерос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п.Подтыбок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строительства многоквартирных домов в рамках программы «Переселение граждан из ветхого и аварийного жилья».</w:t>
      </w: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в 2024 году составила 4,3 %.</w:t>
      </w:r>
    </w:p>
    <w:p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Из 208 семей, состоявших на учете в качестве нуждающихся в жилых помещениях (66 детей-сирот, 142 семьи, нуждающихся в улучшении жилищных условий)  улучшили свои жилищные условия в отчетном году 9 семей (3 детей-сирот, 6 семей, состоящих на учете, на улучшение жилищных условий, из них 4 семьи получили социальную выплату на строительство индивидуального жилого дома или приобретение жилья, 2 семьи получили жилые помещения по договору социального найма). </w:t>
      </w:r>
    </w:p>
    <w:p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Снижение показателя произошло за счет существенного снижения финансирования на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родителей. Также снижение произошло из-за того, что финансирование по социальным выплатам на приобретение жилья и на строительство индивидуального жилого дома осталось на прежнем уровне, увеличения не произведено.  В 2023 и в 2024 годах социальную выплату получили по 4 семьи.</w:t>
      </w:r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8"/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Организация муниципального управления</w:t>
      </w:r>
      <w:bookmarkEnd w:id="6"/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>
        <w:rPr>
          <w:rFonts w:ascii="Times New Roman" w:hAnsi="Times New Roman" w:cs="Times New Roman"/>
          <w:sz w:val="28"/>
          <w:szCs w:val="28"/>
        </w:rPr>
        <w:t xml:space="preserve"> в 2024 году увеличилась на 6,9% и составила 19,7% (2023г. – 12,8%). Причина роста - увеличение налоговых и неналоговых доходов, уменьшение межбюджетных трансфертов из республиканского бюджета Республики Коми на реализацию инвестиционных проектов. Так, рост налоговых и неналоговых доходов увеличился к уровню 2023 года на 48 млн. рублей или на 13,5%, в основном за счет роста поступления налога на доходы физических лиц. Безвозмездные поступления по сравнению с прошлым годом уменьшились на 22,8% или на 392 млн. руб. Администраторами доходов бюджета муниципального образования проводится работа по увеличению поступления платежей в бюджет, как за счет изыскания дополнительных доходов, так и сокращения недоимок. На последующие годы продолжится работа органов местного самоуправления по развитию собственной доходной базы. На постоянной основе проводятся заседания межведомственной комиссии по вопросам своевременности и полноты выплаты заработной платы, уплаты налогов и сборов, на которые приглашаются руководители организаций, имеющих задолженность по уплате налогов и сборов в бюджеты всех уровней. Проводятся мероприятия по повышению эффективности управления муниципальным имуществом,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 по взысканию задолженности по арендной плате, претензионно-исковая работа.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32"/>
        </w:numPr>
        <w:tabs>
          <w:tab w:val="left" w:pos="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По сравнению с 2023 годом показатель не изменился, муниципальные организации находящихся на стадии банкротства 2024 отсутствуют.</w:t>
      </w:r>
    </w:p>
    <w:p>
      <w:pPr>
        <w:pStyle w:val="101"/>
        <w:shd w:val="clear" w:color="auto" w:fill="auto"/>
        <w:tabs>
          <w:tab w:val="left" w:pos="418"/>
        </w:tabs>
        <w:spacing w:before="0" w:line="240" w:lineRule="auto"/>
        <w:ind w:left="1134"/>
        <w:rPr>
          <w:sz w:val="28"/>
          <w:szCs w:val="28"/>
          <w:highlight w:val="yellow"/>
        </w:rPr>
      </w:pPr>
    </w:p>
    <w:p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33. Объем не завершенного в установленные сроки строительства, осуществляемого за счет средств бюджета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Строительные работы по объектам незавершенного строительства завершены, но не введены в эксплуатацию следующие объекты: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 полигон ТБО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с.Сторожевск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», и «Реконструкция водозаборных сооружений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с.Большелуг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» в связи с отсутствием дебета воды в с.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Большелуг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 и несоответствие требованиям строительства полигона ТБО с. Сторожевск. Общая стоимость этих объектов составляет 82 881 584,95 руб. Водозаборная колонка в с.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Керес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, в связи отсутствием дебета воды в размере 649 961,44 руб.</w:t>
      </w:r>
    </w:p>
    <w:p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просроченной кредиторской задолженности по оплате труда (включая начисления на выплаты по оплате труда) муниципальных учреждений в общем объеме расходов муниципального образования на оплату труда (включая начисления на выплаты по оплате труда)</w:t>
      </w:r>
      <w:r>
        <w:rPr>
          <w:rFonts w:ascii="Times New Roman" w:hAnsi="Times New Roman" w:cs="Times New Roman"/>
          <w:sz w:val="28"/>
          <w:szCs w:val="28"/>
        </w:rPr>
        <w:t xml:space="preserve"> составляет 0,0%.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заработную плату и начисления на оплату туда работникам бюджетной сферы рассчитаны в соответствии с действующим законодательством исходя из штатных расписаний и тарификационных списков с учетом индексации размеров тарифных ставок (окладов), должностных окладов, с Указом Президента РФ  от 07.05.2012г. №597,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РФ от 26 ноября 2012 г. №2190-р и минимального размера оплаты труда.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Проводится ежемесячный анализ реализации Указа Президента Российской Федерации от 7 мая 2012 года № 597 "О мероприятиях по реализации государственной социальной политики", в части проведения мероприятий по повышению средней заработной платы работников образовательных учреждений и учреждений культуры.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увеличились и составили за 2024 год 6 228 рублей (в 2023 году – 5 844,0 рублей) или рост составил – 6,6%, что обусловлено: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индексацией должностных окладов с 1 ноября 2023 года на 5,5%;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ростом минимального размера оплаты труда за 2024 год на 18,5%;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получением права с 2023 года муниципальными служащими на компенсацию расходов по оплате проезда к месту отдыха и обратно;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среднегодовой численности постоянного населения на 257 человек.</w:t>
      </w:r>
    </w:p>
    <w:p>
      <w:pPr>
        <w:spacing w:after="0" w:line="240" w:lineRule="auto"/>
        <w:ind w:firstLine="567"/>
        <w:jc w:val="both"/>
        <w:rPr>
          <w:rStyle w:val="2115pt"/>
          <w:rFonts w:eastAsiaTheme="minorEastAsia"/>
          <w:i w:val="0"/>
          <w:iCs w:val="0"/>
          <w:color w:val="FF0000"/>
          <w:sz w:val="28"/>
          <w:szCs w:val="28"/>
          <w:highlight w:val="yellow"/>
          <w:shd w:val="clear" w:color="auto" w:fill="auto"/>
          <w:lang w:eastAsia="en-US" w:bidi="ar-SA"/>
        </w:rPr>
      </w:pPr>
    </w:p>
    <w:p>
      <w:pPr>
        <w:keepNext/>
        <w:keepLines/>
        <w:widowControl w:val="0"/>
        <w:numPr>
          <w:ilvl w:val="0"/>
          <w:numId w:val="36"/>
        </w:numPr>
        <w:tabs>
          <w:tab w:val="left" w:pos="41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 w:bidi="ru-RU"/>
        </w:rPr>
      </w:pPr>
      <w:r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>
      <w:pPr>
        <w:keepNext/>
        <w:keepLines/>
        <w:widowControl w:val="0"/>
        <w:spacing w:after="0" w:line="240" w:lineRule="auto"/>
        <w:ind w:firstLine="720"/>
        <w:contextualSpacing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Схема территориального планирования муниципального района утверждена Решением Совета МР Корткеросский от 15.06.2012г №V-16-10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Генеральные планы всех 18 сельских поселений муниципального района «Корткеросский» утверждены Решениями Совета МР «Корткеросский» в различные года.</w:t>
      </w:r>
    </w:p>
    <w:p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37. Удовлетворенность населения деятельностью органов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30 апреля 2025 года не установлена: данные отсутствуют.</w:t>
      </w:r>
    </w:p>
    <w:p>
      <w:pPr>
        <w:spacing w:after="0" w:line="240" w:lineRule="auto"/>
        <w:ind w:firstLine="567"/>
        <w:jc w:val="both"/>
        <w:rPr>
          <w:rFonts w:eastAsiaTheme="minorHAnsi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сохранения показателя на хорошем уровне на постоянной основе обеспечивается открытость информации о деятельности органов местного самоуправления посредством размещения информация о деятельности ОМС на официальном сайте администрации </w:t>
      </w:r>
      <w:hyperlink r:id="rId6" w:history="1">
        <w:r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https://kortkeros-r11.gosweb.gosuslugi.ru/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Осуществляется использование информационно-телекоммуникационных технологий в сфере работы с обращениями граждан: работает интернет-приёмная на официальном сайте администрации, где можно заполнить обращение в электронном виде. Активно работает сообщество в социальных сетях «ВКонтакте» </w:t>
      </w:r>
      <w:hyperlink r:id="rId7" w:history="1">
        <w:r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https://vk.com/kortkeros11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Одним   из каналов коммуникаций является персональная страница руководителя администрации</w:t>
      </w:r>
      <w:r>
        <w:rPr>
          <w:rFonts w:eastAsiaTheme="minorHAnsi"/>
          <w:lang w:eastAsia="en-US"/>
        </w:rPr>
        <w:t xml:space="preserve"> </w:t>
      </w:r>
      <w:hyperlink r:id="rId8" w:tgtFrame="_blank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shd w:val="clear" w:color="auto" w:fill="FFFFFF"/>
            <w:lang w:eastAsia="en-US"/>
          </w:rPr>
          <w:t>https://vk.com/id561403180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прогнозном периоде планируется сохранение социальной стабильности, обеспечение доступности населению муниципальных услуг в полном объёме.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suppressLineNumber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38. Среднегодовая численность постоянного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составила 18128 человек, или 98,6 % к уровню 2022 года (18385 чел.).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Демографическая ситуация в муниципальном районе «Корткеросский» по сравнению с аналогичным периодом предыдущего года характеризовалась повышением рождаемости и смертности. За 11 месяцев 2024 года зарегистрировано 157 родившихся, что составляет 105,4% от аналогичного периода 2023 года, и 291 умерших, что соответствует 103,2% от аналогичного периода 2023 года. Коэффициент естественной убыли населения за 11 месяцев 2024 года составил - 134 (в 2023 году этот показатель составил - 133 за аналогичный период).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 11 месяцев 2024 года коэффициент рождаемости увеличился с 8,8 до 9,4 (на 1000 человек населения) по сравнению с аналогичным периодом прошлого года. Коэффициент смертности увеличился с 16,7 до 17,5 (на 1000 человек населения).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Миграционный отток населения за 10 месяцев 2024 года составил 30 человек, что на 91 человека меньше по сравнению с аналогичным периодом 2023 года.</w:t>
      </w:r>
    </w:p>
    <w:p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9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Энергосбережение и повышение энергетической эффективности</w:t>
      </w:r>
      <w:bookmarkEnd w:id="7"/>
    </w:p>
    <w:p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39. Удельная величина потребления энергетических ресурсов в многоквартирных домах:</w:t>
      </w:r>
    </w:p>
    <w:p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удельная величина потребления электрической энергии в 2024 году увеличилась, в связи с вводом в эксплуатацию новых многоквартирных домов с электрическим отоплением (конвекторами) по программе Переселения граждан из аварийного жилищного фонда;</w:t>
      </w:r>
    </w:p>
    <w:p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удельная величина потребления тепловой энергии в 2024 году осталась на прежнем уровне по сравнению с предыдущим годом;</w:t>
      </w:r>
    </w:p>
    <w:p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удельная величина потребления горячей воды в 2024 году уменьшилась, за счет перехода потребителей на водонагреватели;</w:t>
      </w:r>
    </w:p>
    <w:p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удельная величина потребления холодной воды в 2024 году уменьшилась, в связи с тем, что потребителями установлены приборы учета.  </w:t>
      </w:r>
    </w:p>
    <w:p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улучшения показателей проводится информационная работа с населением (на квитанциях об оплате услуг, на информационных стендах размещена информация о необходимости установки приборов учета).</w:t>
      </w:r>
    </w:p>
    <w:p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40. Удельная величина потребления энергетических ресурсов муниципальными бюджетными учреждениями:</w:t>
      </w:r>
    </w:p>
    <w:p>
      <w:pPr>
        <w:suppressAutoHyphens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Удельная величина потребления электрической энергии муниципальными бюджетными учреждениями в 2024 году увеличилась и составила 242,0 кВт/ч. В прогнозном периоде на 2025 – 2027 гг. показатель планируется на уровне 2024 года. </w:t>
      </w:r>
    </w:p>
    <w:p>
      <w:pPr>
        <w:suppressAutoHyphens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 показателя связан с ростом потребления электрической энергии бюджетными учреждениями (приобретение дополнительной техники и оборудования, переход на автономное горячее водоснабжение и т.д.).</w:t>
      </w:r>
    </w:p>
    <w:p>
      <w:pPr>
        <w:spacing w:after="16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Удельный объем потребления тепловой энергии в 2024 году незначительно снизился и составил 0,25 Гкал на кв. м., в прогнозном периоде на 2025 – 2027 гг. показатель планируется на том же уровне.</w:t>
      </w:r>
    </w:p>
    <w:p>
      <w:pPr>
        <w:spacing w:after="16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Удельный объем потребления горячей воды в 2024 году значительно сократился и составил 0,03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куб.м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в прогнозном периоде на 2025 – 2027 гг. показатель планируется на уровне 0,03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куб.м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Сокращение объема потребления связано с переходом на автономные источники горячего водоснабжения</w:t>
      </w:r>
    </w:p>
    <w:p>
      <w:pPr>
        <w:spacing w:after="16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Удельный объем потребления холодной воды незначительно сократился и составил 0,7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куб.м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1 человека, на период до 2026 года показатель запланирован в размере 0,7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куб.м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 муниципальными организациями и иными организациями (за счет бюджетных ассигнований бюджетов муниципальных образований)</w:t>
      </w:r>
    </w:p>
    <w:p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41. Результаты независимой оценки качества условий оказания услуг: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культуры: </w:t>
      </w:r>
      <w:r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организациями культуры и искусства в 2024 году проведена в МУ "Корткеросский районный историко-краеведческий музей " и МБУ "Центр коми культуры Корткеросского района". Недостатком, выявленным в ходе независимой оценки качества условий оказания услуг и влияющим на данный показатель, является то, что здания учреждения и прилегающая территория не адаптированы для людей с ограниченными возможностями.</w:t>
      </w:r>
    </w:p>
    <w:p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образования: </w:t>
      </w:r>
      <w:r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в 2024 году проведена в 4 образовательных организациях. Ежегодно показатель улучшается. Однако, основным недостатком, выявленным в ходе независимой оценки качества условий оказания услуг организациями и влияющим на данный показатель, является то, что в образовательных организациях не созданы условия для беспрепятственного доступа детей с ограниченными возможностями здоровья и инвалидов.</w:t>
      </w:r>
    </w:p>
    <w:p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EE6"/>
    <w:multiLevelType w:val="hybridMultilevel"/>
    <w:tmpl w:val="486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0AF"/>
    <w:multiLevelType w:val="hybridMultilevel"/>
    <w:tmpl w:val="1598A722"/>
    <w:lvl w:ilvl="0" w:tplc="244A7C60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34F"/>
    <w:multiLevelType w:val="hybridMultilevel"/>
    <w:tmpl w:val="4028A7BE"/>
    <w:lvl w:ilvl="0" w:tplc="15361F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4F46B6"/>
    <w:multiLevelType w:val="hybridMultilevel"/>
    <w:tmpl w:val="F17CA1A6"/>
    <w:lvl w:ilvl="0" w:tplc="A9A23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D077F8"/>
    <w:multiLevelType w:val="multilevel"/>
    <w:tmpl w:val="18A03BFE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AA87761"/>
    <w:multiLevelType w:val="hybridMultilevel"/>
    <w:tmpl w:val="E346B85A"/>
    <w:lvl w:ilvl="0" w:tplc="F3220A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824394"/>
    <w:multiLevelType w:val="hybridMultilevel"/>
    <w:tmpl w:val="285EFFEA"/>
    <w:lvl w:ilvl="0" w:tplc="B82AB4A8">
      <w:start w:val="1"/>
      <w:numFmt w:val="decimal"/>
      <w:lvlText w:val="%1."/>
      <w:lvlJc w:val="left"/>
      <w:pPr>
        <w:ind w:left="1773" w:hanging="1065"/>
      </w:pPr>
      <w:rPr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DE20F3"/>
    <w:multiLevelType w:val="multilevel"/>
    <w:tmpl w:val="69B24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02EDD"/>
    <w:multiLevelType w:val="multilevel"/>
    <w:tmpl w:val="026A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0244C1"/>
    <w:multiLevelType w:val="hybridMultilevel"/>
    <w:tmpl w:val="D304D6EA"/>
    <w:lvl w:ilvl="0" w:tplc="016A7E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0943E9"/>
    <w:multiLevelType w:val="hybridMultilevel"/>
    <w:tmpl w:val="E514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B57CB"/>
    <w:multiLevelType w:val="hybridMultilevel"/>
    <w:tmpl w:val="E460CC24"/>
    <w:lvl w:ilvl="0" w:tplc="09AEADA2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30DAC"/>
    <w:multiLevelType w:val="hybridMultilevel"/>
    <w:tmpl w:val="67303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2E355D"/>
    <w:multiLevelType w:val="hybridMultilevel"/>
    <w:tmpl w:val="F5CAE4BA"/>
    <w:lvl w:ilvl="0" w:tplc="ED22B9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A0333B"/>
    <w:multiLevelType w:val="hybridMultilevel"/>
    <w:tmpl w:val="3E2207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3434AD"/>
    <w:multiLevelType w:val="hybridMultilevel"/>
    <w:tmpl w:val="1728D53C"/>
    <w:lvl w:ilvl="0" w:tplc="A9A239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BA91E95"/>
    <w:multiLevelType w:val="hybridMultilevel"/>
    <w:tmpl w:val="C9F8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E574E9"/>
    <w:multiLevelType w:val="multilevel"/>
    <w:tmpl w:val="B134B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227CBF"/>
    <w:multiLevelType w:val="hybridMultilevel"/>
    <w:tmpl w:val="F844F1CE"/>
    <w:lvl w:ilvl="0" w:tplc="2DB843EC">
      <w:start w:val="25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F4C65"/>
    <w:multiLevelType w:val="multilevel"/>
    <w:tmpl w:val="F2E25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4A32F4"/>
    <w:multiLevelType w:val="multilevel"/>
    <w:tmpl w:val="DE70173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547654"/>
    <w:multiLevelType w:val="hybridMultilevel"/>
    <w:tmpl w:val="8538160A"/>
    <w:lvl w:ilvl="0" w:tplc="A9A2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E034F"/>
    <w:multiLevelType w:val="hybridMultilevel"/>
    <w:tmpl w:val="2022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CC590D"/>
    <w:multiLevelType w:val="multilevel"/>
    <w:tmpl w:val="12D4A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9B7B89"/>
    <w:multiLevelType w:val="hybridMultilevel"/>
    <w:tmpl w:val="05A6EC36"/>
    <w:lvl w:ilvl="0" w:tplc="3C3674F8">
      <w:start w:val="32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17420"/>
    <w:multiLevelType w:val="hybridMultilevel"/>
    <w:tmpl w:val="A196A8C6"/>
    <w:lvl w:ilvl="0" w:tplc="A9A239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1B07F3"/>
    <w:multiLevelType w:val="hybridMultilevel"/>
    <w:tmpl w:val="48984070"/>
    <w:lvl w:ilvl="0" w:tplc="A9A23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B03728"/>
    <w:multiLevelType w:val="hybridMultilevel"/>
    <w:tmpl w:val="81F8A354"/>
    <w:lvl w:ilvl="0" w:tplc="ED22B9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2F12EF"/>
    <w:multiLevelType w:val="hybridMultilevel"/>
    <w:tmpl w:val="B060007E"/>
    <w:lvl w:ilvl="0" w:tplc="1C54311A">
      <w:start w:val="31"/>
      <w:numFmt w:val="decimal"/>
      <w:lvlText w:val="%1."/>
      <w:lvlJc w:val="left"/>
      <w:pPr>
        <w:ind w:left="928" w:hanging="360"/>
      </w:pPr>
      <w:rPr>
        <w:rFonts w:hint="default"/>
        <w:b/>
        <w:i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91B57A3"/>
    <w:multiLevelType w:val="hybridMultilevel"/>
    <w:tmpl w:val="393ADA38"/>
    <w:lvl w:ilvl="0" w:tplc="9440D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C05CDA"/>
    <w:multiLevelType w:val="hybridMultilevel"/>
    <w:tmpl w:val="30F44E0A"/>
    <w:lvl w:ilvl="0" w:tplc="707846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8"/>
  </w:num>
  <w:num w:numId="5">
    <w:abstractNumId w:val="24"/>
  </w:num>
  <w:num w:numId="6">
    <w:abstractNumId w:val="20"/>
  </w:num>
  <w:num w:numId="7">
    <w:abstractNumId w:val="18"/>
  </w:num>
  <w:num w:numId="8">
    <w:abstractNumId w:val="7"/>
  </w:num>
  <w:num w:numId="9">
    <w:abstractNumId w:val="0"/>
  </w:num>
  <w:num w:numId="10">
    <w:abstractNumId w:val="4"/>
  </w:num>
  <w:num w:numId="11">
    <w:abstractNumId w:val="21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</w:num>
  <w:num w:numId="13">
    <w:abstractNumId w:val="4"/>
  </w:num>
  <w:num w:numId="14">
    <w:abstractNumId w:val="1"/>
  </w:num>
  <w:num w:numId="15">
    <w:abstractNumId w:val="23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12"/>
  </w:num>
  <w:num w:numId="22">
    <w:abstractNumId w:val="28"/>
  </w:num>
  <w:num w:numId="23">
    <w:abstractNumId w:val="31"/>
  </w:num>
  <w:num w:numId="24">
    <w:abstractNumId w:val="15"/>
  </w:num>
  <w:num w:numId="25">
    <w:abstractNumId w:val="30"/>
  </w:num>
  <w:num w:numId="26">
    <w:abstractNumId w:val="22"/>
  </w:num>
  <w:num w:numId="27">
    <w:abstractNumId w:val="26"/>
  </w:num>
  <w:num w:numId="28">
    <w:abstractNumId w:val="16"/>
  </w:num>
  <w:num w:numId="29">
    <w:abstractNumId w:val="3"/>
  </w:num>
  <w:num w:numId="30">
    <w:abstractNumId w:val="27"/>
  </w:num>
  <w:num w:numId="31">
    <w:abstractNumId w:val="13"/>
  </w:num>
  <w:num w:numId="32">
    <w:abstractNumId w:val="25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D8FC-858E-4B59-9474-0405AB8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180" w:line="25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360" w:after="0" w:line="302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011pt">
    <w:name w:val="Основной текст (10) + 11 pt;Не курсив"/>
    <w:basedOn w:val="1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11">
    <w:name w:val="Основной текст (2) + 11"/>
    <w:aliases w:val="5 pt,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.Текст"/>
    <w:link w:val="13"/>
    <w:qFormat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3">
    <w:name w:val="1.Текст Знак"/>
    <w:link w:val="1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</w:style>
  <w:style w:type="character" w:styleId="ac">
    <w:name w:val="Emphasis"/>
    <w:basedOn w:val="a0"/>
    <w:qFormat/>
    <w:rPr>
      <w:i/>
      <w:iCs/>
    </w:rPr>
  </w:style>
  <w:style w:type="paragraph" w:customStyle="1" w:styleId="msonospacingmrcssattr">
    <w:name w:val="msonospacing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11pt0">
    <w:name w:val="Основной текст (10) + 11 pt"/>
    <w:aliases w:val="Не курсив"/>
    <w:basedOn w:val="a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6140318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ortkeros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rtkeros-r11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4C52-06EF-4B3E-81E6-535ECDAD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Ильинична Шашева</dc:creator>
  <cp:lastModifiedBy>Администрация</cp:lastModifiedBy>
  <cp:revision>108</cp:revision>
  <cp:lastPrinted>2021-04-29T06:37:00Z</cp:lastPrinted>
  <dcterms:created xsi:type="dcterms:W3CDTF">2023-04-24T13:14:00Z</dcterms:created>
  <dcterms:modified xsi:type="dcterms:W3CDTF">2025-04-30T07:24:00Z</dcterms:modified>
</cp:coreProperties>
</file>