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9F" w:rsidRDefault="00F62B9F" w:rsidP="00F62B9F">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Сообщение о возможном установлении публичного сервитута</w:t>
      </w:r>
    </w:p>
    <w:p w:rsidR="00F62B9F" w:rsidRDefault="00F62B9F" w:rsidP="00F62B9F">
      <w:pPr>
        <w:spacing w:after="0"/>
        <w:ind w:firstLine="708"/>
        <w:jc w:val="center"/>
        <w:rPr>
          <w:rFonts w:ascii="Times New Roman" w:hAnsi="Times New Roman" w:cs="Times New Roman"/>
          <w:sz w:val="24"/>
          <w:szCs w:val="24"/>
        </w:rPr>
      </w:pPr>
    </w:p>
    <w:tbl>
      <w:tblPr>
        <w:tblStyle w:val="ad"/>
        <w:tblW w:w="0" w:type="auto"/>
        <w:tblInd w:w="0" w:type="dxa"/>
        <w:tblLook w:val="04A0" w:firstRow="1" w:lastRow="0" w:firstColumn="1" w:lastColumn="0" w:noHBand="0" w:noVBand="1"/>
      </w:tblPr>
      <w:tblGrid>
        <w:gridCol w:w="4926"/>
        <w:gridCol w:w="4927"/>
      </w:tblGrid>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F62B9F" w:rsidRDefault="00F62B9F">
            <w:pPr>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62B9F" w:rsidRDefault="00F62B9F">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F62B9F" w:rsidRDefault="00F62B9F">
            <w:pPr>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62B9F" w:rsidRDefault="00F62B9F" w:rsidP="00F62B9F">
            <w:pPr>
              <w:ind w:firstLine="461"/>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объекта электросетевого хозяйства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линейный разъединитель № 1605 – линейный разъединитель № 1603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одъельск</w:t>
            </w:r>
            <w:proofErr w:type="spellEnd"/>
            <w:r>
              <w:rPr>
                <w:rFonts w:ascii="Times New Roman" w:hAnsi="Times New Roman" w:cs="Times New Roman"/>
                <w:sz w:val="24"/>
                <w:szCs w:val="24"/>
              </w:rPr>
              <w:t>»</w:t>
            </w:r>
          </w:p>
        </w:tc>
      </w:tr>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p w:rsidR="00F62B9F" w:rsidRDefault="00F62B9F">
            <w:pPr>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F62B9F" w:rsidRDefault="00F62B9F">
            <w:pPr>
              <w:ind w:firstLine="461"/>
              <w:jc w:val="both"/>
              <w:rPr>
                <w:rFonts w:ascii="Times New Roman" w:hAnsi="Times New Roman" w:cs="Times New Roman"/>
                <w:sz w:val="24"/>
                <w:szCs w:val="24"/>
              </w:rPr>
            </w:pPr>
            <w:r>
              <w:rPr>
                <w:rFonts w:ascii="Times New Roman" w:hAnsi="Times New Roman" w:cs="Times New Roman"/>
                <w:sz w:val="24"/>
                <w:szCs w:val="24"/>
              </w:rPr>
              <w:t xml:space="preserve">Республика Коми, Корткеросский район,  </w:t>
            </w:r>
            <w:proofErr w:type="spellStart"/>
            <w:r w:rsidR="00E16EEB">
              <w:rPr>
                <w:rFonts w:ascii="Times New Roman" w:hAnsi="Times New Roman" w:cs="Times New Roman"/>
                <w:sz w:val="24"/>
                <w:szCs w:val="24"/>
              </w:rPr>
              <w:t>с</w:t>
            </w:r>
            <w:proofErr w:type="gramStart"/>
            <w:r w:rsidR="00E16EEB">
              <w:rPr>
                <w:rFonts w:ascii="Times New Roman" w:hAnsi="Times New Roman" w:cs="Times New Roman"/>
                <w:sz w:val="24"/>
                <w:szCs w:val="24"/>
              </w:rPr>
              <w:t>.В</w:t>
            </w:r>
            <w:proofErr w:type="gramEnd"/>
            <w:r w:rsidR="00E16EEB">
              <w:rPr>
                <w:rFonts w:ascii="Times New Roman" w:hAnsi="Times New Roman" w:cs="Times New Roman"/>
                <w:sz w:val="24"/>
                <w:szCs w:val="24"/>
              </w:rPr>
              <w:t>омын</w:t>
            </w:r>
            <w:proofErr w:type="spellEnd"/>
            <w:r w:rsidR="00E16EEB">
              <w:rPr>
                <w:rFonts w:ascii="Times New Roman" w:hAnsi="Times New Roman" w:cs="Times New Roman"/>
                <w:sz w:val="24"/>
                <w:szCs w:val="24"/>
              </w:rPr>
              <w:t xml:space="preserve">, </w:t>
            </w:r>
            <w:r>
              <w:rPr>
                <w:rFonts w:ascii="Times New Roman" w:hAnsi="Times New Roman" w:cs="Times New Roman"/>
                <w:sz w:val="24"/>
                <w:szCs w:val="24"/>
              </w:rPr>
              <w:t>кадастровый квартал 11:06:2101004, 11:06:0101001</w:t>
            </w:r>
          </w:p>
          <w:p w:rsidR="00F62B9F" w:rsidRDefault="00F62B9F">
            <w:pPr>
              <w:ind w:firstLine="461"/>
              <w:jc w:val="both"/>
              <w:rPr>
                <w:rFonts w:ascii="Times New Roman" w:hAnsi="Times New Roman" w:cs="Times New Roman"/>
                <w:sz w:val="24"/>
                <w:szCs w:val="24"/>
              </w:rPr>
            </w:pPr>
          </w:p>
        </w:tc>
      </w:tr>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p w:rsidR="00F62B9F" w:rsidRDefault="00F62B9F">
            <w:pPr>
              <w:autoSpaceDE w:val="0"/>
              <w:autoSpaceDN w:val="0"/>
              <w:adjustRightInd w:val="0"/>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62B9F" w:rsidRDefault="00F62B9F">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11:06:2101004:143</w:t>
            </w:r>
          </w:p>
        </w:tc>
      </w:tr>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F62B9F" w:rsidRDefault="00F62B9F">
            <w:pPr>
              <w:ind w:firstLine="708"/>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62B9F" w:rsidRDefault="00F62B9F">
            <w:pPr>
              <w:ind w:firstLine="461"/>
              <w:jc w:val="both"/>
              <w:rPr>
                <w:rFonts w:ascii="Times New Roman" w:hAnsi="Times New Roman" w:cs="Times New Roman"/>
                <w:sz w:val="24"/>
                <w:szCs w:val="24"/>
              </w:rPr>
            </w:pPr>
            <w:r>
              <w:rPr>
                <w:rFonts w:ascii="Times New Roman" w:hAnsi="Times New Roman" w:cs="Times New Roman"/>
                <w:sz w:val="24"/>
                <w:szCs w:val="24"/>
              </w:rPr>
              <w:t>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sidR="00E16EEB">
              <w:rPr>
                <w:rFonts w:ascii="Times New Roman" w:hAnsi="Times New Roman" w:cs="Times New Roman"/>
                <w:sz w:val="24"/>
                <w:szCs w:val="24"/>
              </w:rPr>
              <w:t>8</w:t>
            </w:r>
            <w:r>
              <w:rPr>
                <w:rFonts w:ascii="Times New Roman" w:hAnsi="Times New Roman" w:cs="Times New Roman"/>
                <w:sz w:val="24"/>
                <w:szCs w:val="24"/>
              </w:rPr>
              <w:t xml:space="preserve">020, Республика Коми, Корткеросский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орткерос</w:t>
            </w:r>
            <w:proofErr w:type="spellEnd"/>
            <w:r>
              <w:rPr>
                <w:rFonts w:ascii="Times New Roman" w:hAnsi="Times New Roman" w:cs="Times New Roman"/>
                <w:sz w:val="24"/>
                <w:szCs w:val="24"/>
              </w:rPr>
              <w:t xml:space="preserve">, ул.Советская, д.225,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 3, тел.: 8 (82136)99814.</w:t>
            </w:r>
            <w:r>
              <w:rPr>
                <w:sz w:val="24"/>
                <w:szCs w:val="24"/>
              </w:rPr>
              <w:t xml:space="preserve"> </w:t>
            </w: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oizokazakovaev</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F62B9F" w:rsidRDefault="00F62B9F">
            <w:pPr>
              <w:ind w:firstLine="461"/>
              <w:jc w:val="both"/>
              <w:rPr>
                <w:rFonts w:ascii="Times New Roman" w:hAnsi="Times New Roman" w:cs="Times New Roman"/>
                <w:sz w:val="24"/>
                <w:szCs w:val="24"/>
              </w:rPr>
            </w:pPr>
            <w:r>
              <w:rPr>
                <w:rFonts w:ascii="Times New Roman" w:hAnsi="Times New Roman" w:cs="Times New Roman"/>
                <w:sz w:val="24"/>
                <w:szCs w:val="24"/>
              </w:rPr>
              <w:t>Время приема заинтересованных лиц: вторник, четверг, с 9:00 до 16:00.</w:t>
            </w:r>
          </w:p>
          <w:p w:rsidR="00F62B9F" w:rsidRDefault="00F62B9F" w:rsidP="00A77C72">
            <w:pPr>
              <w:ind w:firstLine="461"/>
              <w:jc w:val="both"/>
              <w:rPr>
                <w:rFonts w:ascii="Times New Roman" w:hAnsi="Times New Roman" w:cs="Times New Roman"/>
                <w:sz w:val="24"/>
                <w:szCs w:val="24"/>
              </w:rPr>
            </w:pPr>
            <w:r>
              <w:rPr>
                <w:rFonts w:ascii="Times New Roman" w:hAnsi="Times New Roman" w:cs="Times New Roman"/>
                <w:sz w:val="24"/>
                <w:szCs w:val="24"/>
              </w:rPr>
              <w:t xml:space="preserve">Срок подачи заявлений об учете прав на земельные участки – </w:t>
            </w:r>
            <w:r w:rsidR="00A77C72">
              <w:rPr>
                <w:rFonts w:ascii="Times New Roman" w:hAnsi="Times New Roman" w:cs="Times New Roman"/>
                <w:sz w:val="24"/>
                <w:szCs w:val="24"/>
              </w:rPr>
              <w:t xml:space="preserve">по </w:t>
            </w:r>
            <w:bookmarkStart w:id="0" w:name="_GoBack"/>
            <w:bookmarkEnd w:id="0"/>
            <w:r>
              <w:rPr>
                <w:rFonts w:ascii="Times New Roman" w:hAnsi="Times New Roman" w:cs="Times New Roman"/>
                <w:sz w:val="24"/>
                <w:szCs w:val="24"/>
              </w:rPr>
              <w:t xml:space="preserve"> 1</w:t>
            </w:r>
            <w:r w:rsidR="00EF5BE4">
              <w:rPr>
                <w:rFonts w:ascii="Times New Roman" w:hAnsi="Times New Roman" w:cs="Times New Roman"/>
                <w:sz w:val="24"/>
                <w:szCs w:val="24"/>
              </w:rPr>
              <w:t>9</w:t>
            </w:r>
            <w:r>
              <w:rPr>
                <w:rFonts w:ascii="Times New Roman" w:hAnsi="Times New Roman" w:cs="Times New Roman"/>
                <w:sz w:val="24"/>
                <w:szCs w:val="24"/>
              </w:rPr>
              <w:t xml:space="preserve"> марта 2021 года.</w:t>
            </w:r>
          </w:p>
        </w:tc>
      </w:tr>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Официальные сайты в информационно-телекоммуникационной сети "Интернет", на которых размещается сообщение о поступившем </w:t>
            </w:r>
            <w:proofErr w:type="gramStart"/>
            <w:r>
              <w:rPr>
                <w:rFonts w:ascii="Times New Roman" w:hAnsi="Times New Roman" w:cs="Times New Roman"/>
                <w:sz w:val="24"/>
                <w:szCs w:val="24"/>
              </w:rPr>
              <w:t>ходатайстве</w:t>
            </w:r>
            <w:proofErr w:type="gramEnd"/>
            <w:r>
              <w:rPr>
                <w:rFonts w:ascii="Times New Roman" w:hAnsi="Times New Roman" w:cs="Times New Roman"/>
                <w:sz w:val="24"/>
                <w:szCs w:val="24"/>
              </w:rPr>
              <w:t xml:space="preserve"> об установлении публичного сервитута</w:t>
            </w:r>
          </w:p>
          <w:p w:rsidR="00F62B9F" w:rsidRDefault="00F62B9F">
            <w:pPr>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62B9F" w:rsidRDefault="00EF5BE4">
            <w:pPr>
              <w:ind w:firstLine="461"/>
              <w:jc w:val="both"/>
              <w:rPr>
                <w:rFonts w:ascii="Times New Roman" w:hAnsi="Times New Roman" w:cs="Times New Roman"/>
                <w:sz w:val="24"/>
                <w:szCs w:val="24"/>
              </w:rPr>
            </w:pPr>
            <w:r>
              <w:rPr>
                <w:rFonts w:ascii="Times New Roman" w:hAnsi="Times New Roman" w:cs="Times New Roman"/>
                <w:sz w:val="24"/>
                <w:szCs w:val="24"/>
              </w:rPr>
              <w:t xml:space="preserve">Сайт муниципального района «Корткеросский»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kortkeros</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cs="Times New Roman"/>
                <w:sz w:val="24"/>
                <w:szCs w:val="24"/>
              </w:rPr>
              <w:t>, в разделе «Информация управления имущественных и земельных отношений», подраздел «Информация о возможном установлении публичного сервитута»</w:t>
            </w:r>
          </w:p>
        </w:tc>
      </w:tr>
      <w:tr w:rsidR="00F62B9F" w:rsidTr="00F62B9F">
        <w:tc>
          <w:tcPr>
            <w:tcW w:w="4926" w:type="dxa"/>
            <w:tcBorders>
              <w:top w:val="single" w:sz="4" w:space="0" w:color="auto"/>
              <w:left w:val="single" w:sz="4" w:space="0" w:color="auto"/>
              <w:bottom w:val="single" w:sz="4" w:space="0" w:color="auto"/>
              <w:right w:val="single" w:sz="4" w:space="0" w:color="auto"/>
            </w:tcBorders>
            <w:hideMark/>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4927" w:type="dxa"/>
            <w:tcBorders>
              <w:top w:val="single" w:sz="4" w:space="0" w:color="auto"/>
              <w:left w:val="single" w:sz="4" w:space="0" w:color="auto"/>
              <w:bottom w:val="single" w:sz="4" w:space="0" w:color="auto"/>
              <w:right w:val="single" w:sz="4" w:space="0" w:color="auto"/>
            </w:tcBorders>
            <w:hideMark/>
          </w:tcPr>
          <w:p w:rsidR="00F62B9F" w:rsidRPr="00F62B9F" w:rsidRDefault="00F62B9F">
            <w:pPr>
              <w:pStyle w:val="a5"/>
              <w:shd w:val="clear" w:color="auto" w:fill="FFFFFF"/>
              <w:ind w:left="0" w:firstLine="46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Генеральный план муниципального образования  сельского  поселения «</w:t>
            </w:r>
            <w:proofErr w:type="spellStart"/>
            <w:r>
              <w:rPr>
                <w:rFonts w:ascii="Times New Roman" w:eastAsia="Times New Roman" w:hAnsi="Times New Roman" w:cs="Times New Roman"/>
                <w:sz w:val="24"/>
                <w:szCs w:val="24"/>
                <w:lang w:eastAsia="ru-RU"/>
              </w:rPr>
              <w:t>Вомын</w:t>
            </w:r>
            <w:proofErr w:type="spellEnd"/>
            <w:r>
              <w:rPr>
                <w:rFonts w:ascii="Times New Roman" w:eastAsia="Times New Roman" w:hAnsi="Times New Roman" w:cs="Times New Roman"/>
                <w:sz w:val="24"/>
                <w:szCs w:val="24"/>
                <w:lang w:eastAsia="ru-RU"/>
              </w:rPr>
              <w:t xml:space="preserve">», утвержденный решением Совета </w:t>
            </w:r>
            <w:r w:rsidR="000D4E13">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муниципального </w:t>
            </w:r>
            <w:r w:rsidR="000D4E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района «Корткеросский»  от  17.05.2016 г. № </w:t>
            </w:r>
            <w:r>
              <w:rPr>
                <w:rFonts w:ascii="Times New Roman" w:eastAsia="Times New Roman" w:hAnsi="Times New Roman" w:cs="Times New Roman"/>
                <w:sz w:val="24"/>
                <w:szCs w:val="24"/>
                <w:lang w:val="en-US" w:eastAsia="ru-RU"/>
              </w:rPr>
              <w:t>VI</w:t>
            </w:r>
            <w:r w:rsidRPr="00F62B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10/12.</w:t>
            </w:r>
          </w:p>
          <w:p w:rsidR="00F62B9F" w:rsidRDefault="00F62B9F" w:rsidP="00F62B9F">
            <w:pPr>
              <w:ind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Правила землепользования и застройки муниципального образования сельского поселения «</w:t>
            </w:r>
            <w:proofErr w:type="spellStart"/>
            <w:r>
              <w:rPr>
                <w:rFonts w:ascii="Times New Roman" w:eastAsia="Times New Roman" w:hAnsi="Times New Roman" w:cs="Times New Roman"/>
                <w:sz w:val="24"/>
                <w:szCs w:val="24"/>
                <w:lang w:eastAsia="ru-RU"/>
              </w:rPr>
              <w:t>Вомын</w:t>
            </w:r>
            <w:proofErr w:type="spellEnd"/>
            <w:r>
              <w:rPr>
                <w:rFonts w:ascii="Times New Roman" w:eastAsia="Times New Roman" w:hAnsi="Times New Roman" w:cs="Times New Roman"/>
                <w:sz w:val="24"/>
                <w:szCs w:val="24"/>
                <w:lang w:eastAsia="ru-RU"/>
              </w:rPr>
              <w:t xml:space="preserve">», утвержденные решением Совета  </w:t>
            </w:r>
            <w:r w:rsidR="000D4E13">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муниципального района «Корткеросский»  от 17.05.2016 г. № </w:t>
            </w:r>
            <w:r>
              <w:rPr>
                <w:rFonts w:ascii="Times New Roman" w:eastAsia="Times New Roman" w:hAnsi="Times New Roman" w:cs="Times New Roman"/>
                <w:sz w:val="24"/>
                <w:szCs w:val="24"/>
                <w:lang w:val="en-US" w:eastAsia="ru-RU"/>
              </w:rPr>
              <w:t>VI</w:t>
            </w:r>
            <w:r w:rsidRPr="00F62B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10/12.</w:t>
            </w:r>
          </w:p>
          <w:p w:rsidR="0054749A" w:rsidRDefault="0054749A" w:rsidP="00F62B9F">
            <w:pPr>
              <w:ind w:firstLine="461"/>
              <w:jc w:val="both"/>
              <w:rPr>
                <w:rFonts w:ascii="Times New Roman" w:eastAsia="Times New Roman" w:hAnsi="Times New Roman" w:cs="Times New Roman"/>
                <w:sz w:val="24"/>
                <w:szCs w:val="24"/>
                <w:lang w:eastAsia="ru-RU"/>
              </w:rPr>
            </w:pPr>
          </w:p>
          <w:p w:rsidR="0054749A" w:rsidRDefault="0054749A" w:rsidP="00F62B9F">
            <w:pPr>
              <w:ind w:firstLine="461"/>
              <w:jc w:val="both"/>
              <w:rPr>
                <w:rFonts w:ascii="Times New Roman" w:hAnsi="Times New Roman" w:cs="Times New Roman"/>
                <w:sz w:val="24"/>
                <w:szCs w:val="24"/>
              </w:rPr>
            </w:pPr>
          </w:p>
        </w:tc>
      </w:tr>
      <w:tr w:rsidR="00F62B9F" w:rsidTr="00F62B9F">
        <w:tc>
          <w:tcPr>
            <w:tcW w:w="4926" w:type="dxa"/>
            <w:tcBorders>
              <w:top w:val="single" w:sz="4" w:space="0" w:color="auto"/>
              <w:left w:val="single" w:sz="4" w:space="0" w:color="auto"/>
              <w:bottom w:val="single" w:sz="4" w:space="0" w:color="auto"/>
              <w:right w:val="single" w:sz="4" w:space="0" w:color="auto"/>
            </w:tcBorders>
            <w:hideMark/>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4927" w:type="dxa"/>
            <w:tcBorders>
              <w:top w:val="single" w:sz="4" w:space="0" w:color="auto"/>
              <w:left w:val="single" w:sz="4" w:space="0" w:color="auto"/>
              <w:bottom w:val="single" w:sz="4" w:space="0" w:color="auto"/>
              <w:right w:val="single" w:sz="4" w:space="0" w:color="auto"/>
            </w:tcBorders>
            <w:hideMark/>
          </w:tcPr>
          <w:p w:rsidR="00F62B9F" w:rsidRDefault="00F62B9F">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Сайт Министерства экономического развития Российской Федерации = Федеральная государственная  информационная система территориального планирования,  https://fgistp.economy.gov.ru</w:t>
            </w:r>
          </w:p>
        </w:tc>
      </w:tr>
      <w:tr w:rsidR="00F62B9F" w:rsidTr="00F62B9F">
        <w:tc>
          <w:tcPr>
            <w:tcW w:w="4926" w:type="dxa"/>
            <w:tcBorders>
              <w:top w:val="single" w:sz="4" w:space="0" w:color="auto"/>
              <w:left w:val="single" w:sz="4" w:space="0" w:color="auto"/>
              <w:bottom w:val="single" w:sz="4" w:space="0" w:color="auto"/>
              <w:right w:val="single" w:sz="4" w:space="0" w:color="auto"/>
            </w:tcBorders>
          </w:tcPr>
          <w:p w:rsidR="00F62B9F" w:rsidRDefault="00F62B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границ публичного сервитута</w:t>
            </w:r>
          </w:p>
          <w:p w:rsidR="00F62B9F" w:rsidRDefault="00F62B9F">
            <w:pPr>
              <w:autoSpaceDE w:val="0"/>
              <w:autoSpaceDN w:val="0"/>
              <w:adjustRightInd w:val="0"/>
              <w:jc w:val="both"/>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62B9F" w:rsidRDefault="00F62B9F">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(приложение № 1)</w:t>
            </w:r>
          </w:p>
        </w:tc>
      </w:tr>
    </w:tbl>
    <w:p w:rsidR="00F62B9F" w:rsidRDefault="00F62B9F" w:rsidP="00F62B9F">
      <w:pPr>
        <w:tabs>
          <w:tab w:val="right" w:pos="9355"/>
        </w:tabs>
        <w:spacing w:after="0"/>
        <w:ind w:firstLine="708"/>
        <w:jc w:val="both"/>
        <w:rPr>
          <w:rFonts w:ascii="Times New Roman" w:hAnsi="Times New Roman" w:cs="Times New Roman"/>
          <w:sz w:val="24"/>
          <w:szCs w:val="24"/>
        </w:rPr>
      </w:pPr>
    </w:p>
    <w:p w:rsidR="00F62B9F" w:rsidRDefault="00F62B9F" w:rsidP="00F62B9F">
      <w:pPr>
        <w:pStyle w:val="a5"/>
        <w:shd w:val="clear" w:color="auto" w:fill="FFFFFF"/>
        <w:spacing w:after="0" w:line="240" w:lineRule="auto"/>
        <w:ind w:left="0" w:firstLine="567"/>
        <w:jc w:val="both"/>
        <w:rPr>
          <w:rFonts w:ascii="Times New Roman" w:hAnsi="Times New Roman" w:cs="Times New Roman"/>
          <w:sz w:val="24"/>
          <w:szCs w:val="24"/>
        </w:rPr>
      </w:pPr>
    </w:p>
    <w:p w:rsidR="00F62B9F" w:rsidRDefault="00F62B9F" w:rsidP="00F62B9F">
      <w:pPr>
        <w:pStyle w:val="a5"/>
        <w:shd w:val="clear" w:color="auto" w:fill="FFFFFF"/>
        <w:spacing w:after="0" w:line="240" w:lineRule="auto"/>
        <w:ind w:left="0" w:firstLine="567"/>
        <w:jc w:val="both"/>
        <w:rPr>
          <w:rFonts w:ascii="Times New Roman" w:hAnsi="Times New Roman" w:cs="Times New Roman"/>
          <w:sz w:val="24"/>
          <w:szCs w:val="24"/>
        </w:rPr>
      </w:pPr>
    </w:p>
    <w:p w:rsidR="00F62B9F" w:rsidRDefault="00F62B9F" w:rsidP="00F62B9F">
      <w:pPr>
        <w:pStyle w:val="a5"/>
        <w:shd w:val="clear" w:color="auto" w:fill="FFFFFF"/>
        <w:spacing w:after="0" w:line="240" w:lineRule="auto"/>
        <w:ind w:left="0" w:firstLine="567"/>
        <w:jc w:val="both"/>
        <w:rPr>
          <w:rFonts w:ascii="Times New Roman" w:hAnsi="Times New Roman" w:cs="Times New Roman"/>
          <w:sz w:val="24"/>
          <w:szCs w:val="24"/>
        </w:rPr>
      </w:pPr>
    </w:p>
    <w:p w:rsidR="00F62B9F" w:rsidRDefault="00F62B9F" w:rsidP="00F62B9F">
      <w:pPr>
        <w:pStyle w:val="a5"/>
        <w:shd w:val="clear" w:color="auto" w:fill="FFFFFF"/>
        <w:spacing w:after="0" w:line="240" w:lineRule="auto"/>
        <w:ind w:left="0" w:firstLine="567"/>
        <w:jc w:val="both"/>
        <w:rPr>
          <w:rFonts w:ascii="Times New Roman" w:hAnsi="Times New Roman" w:cs="Times New Roman"/>
          <w:sz w:val="24"/>
          <w:szCs w:val="24"/>
        </w:rPr>
      </w:pPr>
    </w:p>
    <w:p w:rsidR="00F62B9F" w:rsidRDefault="00F62B9F" w:rsidP="00F62B9F">
      <w:pPr>
        <w:pStyle w:val="a5"/>
        <w:shd w:val="clear" w:color="auto" w:fill="FFFFFF"/>
        <w:spacing w:after="0" w:line="240" w:lineRule="auto"/>
        <w:ind w:left="0" w:firstLine="567"/>
        <w:jc w:val="both"/>
        <w:rPr>
          <w:rFonts w:ascii="Times New Roman" w:hAnsi="Times New Roman" w:cs="Times New Roman"/>
          <w:sz w:val="24"/>
          <w:szCs w:val="24"/>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5A6F93" w:rsidP="00C2661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lastRenderedPageBreak/>
        <w:t xml:space="preserve">Приложение № 1: </w:t>
      </w:r>
      <w:r w:rsidR="00C26611">
        <w:rPr>
          <w:rFonts w:ascii="Times New Roman" w:eastAsia="Times New Roman" w:hAnsi="Times New Roman" w:cs="Times New Roman"/>
          <w:sz w:val="24"/>
          <w:szCs w:val="24"/>
          <w:lang w:eastAsia="ru-RU"/>
        </w:rPr>
        <w:t>схема расположения границ публичного сервитута.</w:t>
      </w: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10175" cy="6305550"/>
            <wp:effectExtent l="0" t="0" r="9525" b="0"/>
            <wp:docPr id="6" name="Рисунок 6" descr="C:\Users\Неронова Галина\Downloads\doc1341822021021613363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еронова Галина\Downloads\doc13418220210216133636_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94" t="23483" r="4183" b="3528"/>
                    <a:stretch/>
                  </pic:blipFill>
                  <pic:spPr bwMode="auto">
                    <a:xfrm>
                      <a:off x="0" y="0"/>
                      <a:ext cx="5215220" cy="6311656"/>
                    </a:xfrm>
                    <a:prstGeom prst="rect">
                      <a:avLst/>
                    </a:prstGeom>
                    <a:noFill/>
                    <a:ln>
                      <a:noFill/>
                    </a:ln>
                    <a:extLst>
                      <a:ext uri="{53640926-AAD7-44D8-BBD7-CCE9431645EC}">
                        <a14:shadowObscured xmlns:a14="http://schemas.microsoft.com/office/drawing/2010/main"/>
                      </a:ext>
                    </a:extLst>
                  </pic:spPr>
                </pic:pic>
              </a:graphicData>
            </a:graphic>
          </wp:inline>
        </w:drawing>
      </w: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5A6F93" w:rsidRDefault="005A6F93"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262FAD" w:rsidRDefault="00262FAD"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262FAD" w:rsidRDefault="00262FAD"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262FAD" w:rsidRDefault="00262FAD"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262FAD" w:rsidRDefault="00262FAD"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262FAD" w:rsidRDefault="00262FAD"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7910F9" w:rsidRDefault="007910F9" w:rsidP="001D04E2">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1D7BAE" w:rsidRDefault="001D7BAE"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sectPr w:rsidR="001D7BAE" w:rsidSect="003B1139">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FB" w:rsidRDefault="005319FB" w:rsidP="00BE7D62">
      <w:pPr>
        <w:spacing w:after="0" w:line="240" w:lineRule="auto"/>
      </w:pPr>
      <w:r>
        <w:separator/>
      </w:r>
    </w:p>
  </w:endnote>
  <w:endnote w:type="continuationSeparator" w:id="0">
    <w:p w:rsidR="005319FB" w:rsidRDefault="005319FB"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FB" w:rsidRDefault="005319FB" w:rsidP="00BE7D62">
      <w:pPr>
        <w:spacing w:after="0" w:line="240" w:lineRule="auto"/>
      </w:pPr>
      <w:r>
        <w:separator/>
      </w:r>
    </w:p>
  </w:footnote>
  <w:footnote w:type="continuationSeparator" w:id="0">
    <w:p w:rsidR="005319FB" w:rsidRDefault="005319FB"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36EAB"/>
    <w:rsid w:val="00045A22"/>
    <w:rsid w:val="00067230"/>
    <w:rsid w:val="00084A44"/>
    <w:rsid w:val="000B0756"/>
    <w:rsid w:val="000B6009"/>
    <w:rsid w:val="000B76CC"/>
    <w:rsid w:val="000C01C8"/>
    <w:rsid w:val="000C685B"/>
    <w:rsid w:val="000D4E13"/>
    <w:rsid w:val="00101741"/>
    <w:rsid w:val="00103382"/>
    <w:rsid w:val="00126B88"/>
    <w:rsid w:val="0019733F"/>
    <w:rsid w:val="00197C62"/>
    <w:rsid w:val="001A78F3"/>
    <w:rsid w:val="001D04E2"/>
    <w:rsid w:val="001D7BAE"/>
    <w:rsid w:val="001E71FD"/>
    <w:rsid w:val="00210F59"/>
    <w:rsid w:val="002220D7"/>
    <w:rsid w:val="00262FAD"/>
    <w:rsid w:val="002658B7"/>
    <w:rsid w:val="00272336"/>
    <w:rsid w:val="002928BE"/>
    <w:rsid w:val="002C4A0A"/>
    <w:rsid w:val="00312A56"/>
    <w:rsid w:val="003609BC"/>
    <w:rsid w:val="003611AF"/>
    <w:rsid w:val="00362B6D"/>
    <w:rsid w:val="00365E89"/>
    <w:rsid w:val="00370450"/>
    <w:rsid w:val="00371C86"/>
    <w:rsid w:val="00390431"/>
    <w:rsid w:val="0039717D"/>
    <w:rsid w:val="003A6072"/>
    <w:rsid w:val="003A7B7D"/>
    <w:rsid w:val="003B081E"/>
    <w:rsid w:val="003B1139"/>
    <w:rsid w:val="003B2E34"/>
    <w:rsid w:val="003B4844"/>
    <w:rsid w:val="003E27D2"/>
    <w:rsid w:val="004067CB"/>
    <w:rsid w:val="004276AF"/>
    <w:rsid w:val="00427DA1"/>
    <w:rsid w:val="0044539A"/>
    <w:rsid w:val="00457922"/>
    <w:rsid w:val="00466AB6"/>
    <w:rsid w:val="004733AC"/>
    <w:rsid w:val="004B07A5"/>
    <w:rsid w:val="004D2273"/>
    <w:rsid w:val="00512283"/>
    <w:rsid w:val="00523689"/>
    <w:rsid w:val="005300C1"/>
    <w:rsid w:val="005319FB"/>
    <w:rsid w:val="0054749A"/>
    <w:rsid w:val="0055053D"/>
    <w:rsid w:val="00561FF1"/>
    <w:rsid w:val="00565F74"/>
    <w:rsid w:val="005756C8"/>
    <w:rsid w:val="0059583C"/>
    <w:rsid w:val="005A6F93"/>
    <w:rsid w:val="005D05BF"/>
    <w:rsid w:val="005F28F6"/>
    <w:rsid w:val="00607D49"/>
    <w:rsid w:val="00654D77"/>
    <w:rsid w:val="00673BA2"/>
    <w:rsid w:val="00675CD4"/>
    <w:rsid w:val="00686E3D"/>
    <w:rsid w:val="006951D2"/>
    <w:rsid w:val="006E4323"/>
    <w:rsid w:val="006F25E1"/>
    <w:rsid w:val="006F3B67"/>
    <w:rsid w:val="00710B3A"/>
    <w:rsid w:val="007317AA"/>
    <w:rsid w:val="00766D7D"/>
    <w:rsid w:val="007704D8"/>
    <w:rsid w:val="007910F9"/>
    <w:rsid w:val="007B2081"/>
    <w:rsid w:val="007B42F2"/>
    <w:rsid w:val="007B6230"/>
    <w:rsid w:val="007D5396"/>
    <w:rsid w:val="007E1E20"/>
    <w:rsid w:val="007E23B7"/>
    <w:rsid w:val="007F5F05"/>
    <w:rsid w:val="0080057D"/>
    <w:rsid w:val="00840A2E"/>
    <w:rsid w:val="00862975"/>
    <w:rsid w:val="00892B82"/>
    <w:rsid w:val="008A7603"/>
    <w:rsid w:val="00921784"/>
    <w:rsid w:val="00942336"/>
    <w:rsid w:val="009523B0"/>
    <w:rsid w:val="009570BB"/>
    <w:rsid w:val="00964D3E"/>
    <w:rsid w:val="00980D0E"/>
    <w:rsid w:val="009A338B"/>
    <w:rsid w:val="009A79F2"/>
    <w:rsid w:val="009B69DB"/>
    <w:rsid w:val="009D2F98"/>
    <w:rsid w:val="00A115CE"/>
    <w:rsid w:val="00A14F3F"/>
    <w:rsid w:val="00A201E9"/>
    <w:rsid w:val="00A41349"/>
    <w:rsid w:val="00A443D6"/>
    <w:rsid w:val="00A45813"/>
    <w:rsid w:val="00A61C1E"/>
    <w:rsid w:val="00A77C72"/>
    <w:rsid w:val="00AA5348"/>
    <w:rsid w:val="00AE4913"/>
    <w:rsid w:val="00B32529"/>
    <w:rsid w:val="00B675A4"/>
    <w:rsid w:val="00B72623"/>
    <w:rsid w:val="00B7752C"/>
    <w:rsid w:val="00B94471"/>
    <w:rsid w:val="00B94BA3"/>
    <w:rsid w:val="00B96A16"/>
    <w:rsid w:val="00BD6D5A"/>
    <w:rsid w:val="00BE6467"/>
    <w:rsid w:val="00BE7D62"/>
    <w:rsid w:val="00BF53A8"/>
    <w:rsid w:val="00C26611"/>
    <w:rsid w:val="00C87C97"/>
    <w:rsid w:val="00C93CAB"/>
    <w:rsid w:val="00CB7F22"/>
    <w:rsid w:val="00CC52D0"/>
    <w:rsid w:val="00CE744B"/>
    <w:rsid w:val="00CF27AB"/>
    <w:rsid w:val="00D17944"/>
    <w:rsid w:val="00DF75A2"/>
    <w:rsid w:val="00E067E4"/>
    <w:rsid w:val="00E16EEB"/>
    <w:rsid w:val="00E46B0B"/>
    <w:rsid w:val="00E73187"/>
    <w:rsid w:val="00EA72A7"/>
    <w:rsid w:val="00EC34D2"/>
    <w:rsid w:val="00EC5628"/>
    <w:rsid w:val="00EE4D7E"/>
    <w:rsid w:val="00EF0EA5"/>
    <w:rsid w:val="00EF26F6"/>
    <w:rsid w:val="00EF5BE4"/>
    <w:rsid w:val="00EF7BC4"/>
    <w:rsid w:val="00F23213"/>
    <w:rsid w:val="00F2613A"/>
    <w:rsid w:val="00F51977"/>
    <w:rsid w:val="00F567F8"/>
    <w:rsid w:val="00F62B9F"/>
    <w:rsid w:val="00F8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F62B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F62B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Неронова Галина</cp:lastModifiedBy>
  <cp:revision>22</cp:revision>
  <cp:lastPrinted>2020-08-07T06:29:00Z</cp:lastPrinted>
  <dcterms:created xsi:type="dcterms:W3CDTF">2021-02-15T07:46:00Z</dcterms:created>
  <dcterms:modified xsi:type="dcterms:W3CDTF">2021-03-19T06:13:00Z</dcterms:modified>
</cp:coreProperties>
</file>