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9E7" w:rsidRDefault="004829E7" w:rsidP="004829E7">
      <w:pPr>
        <w:pStyle w:val="a3"/>
        <w:tabs>
          <w:tab w:val="left" w:pos="851"/>
        </w:tabs>
        <w:ind w:firstLine="567"/>
        <w:jc w:val="center"/>
        <w:rPr>
          <w:b/>
          <w:sz w:val="28"/>
          <w:szCs w:val="28"/>
        </w:rPr>
      </w:pPr>
      <w:r>
        <w:rPr>
          <w:b/>
          <w:sz w:val="28"/>
          <w:szCs w:val="28"/>
        </w:rPr>
        <w:t>Информация</w:t>
      </w:r>
      <w:r>
        <w:rPr>
          <w:sz w:val="28"/>
          <w:szCs w:val="28"/>
        </w:rPr>
        <w:t xml:space="preserve"> </w:t>
      </w:r>
      <w:r>
        <w:rPr>
          <w:b/>
          <w:sz w:val="28"/>
          <w:szCs w:val="28"/>
        </w:rPr>
        <w:t>для</w:t>
      </w:r>
      <w:r>
        <w:rPr>
          <w:sz w:val="28"/>
          <w:szCs w:val="28"/>
        </w:rPr>
        <w:t xml:space="preserve"> </w:t>
      </w:r>
      <w:r>
        <w:rPr>
          <w:b/>
          <w:sz w:val="28"/>
          <w:szCs w:val="28"/>
        </w:rPr>
        <w:t>руководителей организаций, индивидуальных предпринимателей и представителей трудовых коллективов Республики Коми</w:t>
      </w:r>
    </w:p>
    <w:p w:rsidR="004829E7" w:rsidRDefault="004829E7" w:rsidP="004829E7">
      <w:pPr>
        <w:pStyle w:val="a3"/>
        <w:tabs>
          <w:tab w:val="left" w:pos="851"/>
        </w:tabs>
        <w:ind w:firstLine="567"/>
        <w:jc w:val="center"/>
        <w:rPr>
          <w:b/>
          <w:sz w:val="28"/>
          <w:szCs w:val="28"/>
        </w:rPr>
      </w:pPr>
    </w:p>
    <w:p w:rsidR="004829E7" w:rsidRDefault="004829E7" w:rsidP="004829E7">
      <w:pPr>
        <w:tabs>
          <w:tab w:val="left" w:pos="851"/>
        </w:tabs>
        <w:ind w:firstLine="567"/>
        <w:jc w:val="both"/>
        <w:rPr>
          <w:sz w:val="28"/>
          <w:szCs w:val="28"/>
        </w:rPr>
      </w:pPr>
      <w:r>
        <w:rPr>
          <w:sz w:val="28"/>
          <w:szCs w:val="28"/>
        </w:rPr>
        <w:t>При заключении и направлении на уведомительную регистрацию коллективных договоров, соглашений необходимо соблюдать требования трудового законодательства и иных нормативных правовых актов, регулирующих данные отношения.</w:t>
      </w:r>
    </w:p>
    <w:p w:rsidR="004829E7" w:rsidRDefault="004829E7" w:rsidP="004829E7">
      <w:pPr>
        <w:tabs>
          <w:tab w:val="left" w:pos="851"/>
        </w:tabs>
        <w:ind w:firstLine="567"/>
        <w:jc w:val="both"/>
        <w:rPr>
          <w:sz w:val="28"/>
          <w:szCs w:val="28"/>
        </w:rPr>
      </w:pPr>
      <w:r>
        <w:rPr>
          <w:sz w:val="28"/>
          <w:szCs w:val="28"/>
        </w:rPr>
        <w:t>Порядок ведения коллективных переговоров и заключения коллективных договоров регулируется Главами 6-7 Трудового кодекса Российской Федерации (далее - ТК РФ).</w:t>
      </w:r>
    </w:p>
    <w:p w:rsidR="004829E7" w:rsidRDefault="004829E7" w:rsidP="004829E7">
      <w:pPr>
        <w:tabs>
          <w:tab w:val="left" w:pos="851"/>
        </w:tabs>
        <w:autoSpaceDE w:val="0"/>
        <w:autoSpaceDN w:val="0"/>
        <w:adjustRightInd w:val="0"/>
        <w:ind w:firstLine="567"/>
        <w:jc w:val="both"/>
        <w:rPr>
          <w:sz w:val="28"/>
          <w:szCs w:val="28"/>
        </w:rPr>
      </w:pPr>
      <w:r>
        <w:rPr>
          <w:sz w:val="28"/>
          <w:szCs w:val="28"/>
        </w:rPr>
        <w:t xml:space="preserve">Коллективный договор, соглашение подписывается полномочными представителями работников и работодателя, указанными в </w:t>
      </w:r>
      <w:hyperlink r:id="rId5" w:history="1">
        <w:r>
          <w:rPr>
            <w:rStyle w:val="a4"/>
            <w:sz w:val="28"/>
            <w:szCs w:val="28"/>
          </w:rPr>
          <w:t>ст. 29</w:t>
        </w:r>
      </w:hyperlink>
      <w:r>
        <w:rPr>
          <w:sz w:val="28"/>
          <w:szCs w:val="28"/>
        </w:rPr>
        <w:t xml:space="preserve"> - </w:t>
      </w:r>
      <w:hyperlink r:id="rId6" w:history="1">
        <w:r>
          <w:rPr>
            <w:rStyle w:val="a4"/>
            <w:sz w:val="28"/>
            <w:szCs w:val="28"/>
          </w:rPr>
          <w:t>33</w:t>
        </w:r>
      </w:hyperlink>
      <w:r>
        <w:rPr>
          <w:sz w:val="28"/>
          <w:szCs w:val="28"/>
        </w:rPr>
        <w:t xml:space="preserve">, </w:t>
      </w:r>
      <w:hyperlink r:id="rId7" w:history="1">
        <w:r>
          <w:rPr>
            <w:rStyle w:val="a4"/>
            <w:sz w:val="28"/>
            <w:szCs w:val="28"/>
          </w:rPr>
          <w:t>37</w:t>
        </w:r>
      </w:hyperlink>
      <w:r>
        <w:rPr>
          <w:sz w:val="28"/>
          <w:szCs w:val="28"/>
        </w:rPr>
        <w:t xml:space="preserve"> ТК РФ.</w:t>
      </w:r>
    </w:p>
    <w:p w:rsidR="004829E7" w:rsidRDefault="004829E7" w:rsidP="004829E7">
      <w:pPr>
        <w:tabs>
          <w:tab w:val="left" w:pos="851"/>
        </w:tabs>
        <w:ind w:firstLine="567"/>
        <w:jc w:val="both"/>
        <w:rPr>
          <w:sz w:val="28"/>
          <w:szCs w:val="28"/>
        </w:rPr>
      </w:pPr>
      <w:r>
        <w:rPr>
          <w:sz w:val="28"/>
          <w:szCs w:val="28"/>
        </w:rPr>
        <w:t>Интересы работодателя при проведении коллективных переговоров, заключении или изменении коллективного договора представляют руководитель организации, работодатель - индивидуальный предприниматель (лично) или уполномоченные ими лица, интересы работников - профсоюзы либо иные представители, избранные работниками (</w:t>
      </w:r>
      <w:hyperlink r:id="rId8" w:anchor="/document/99/901807664/ZAP2K303OD/" w:tooltip="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 (часть.." w:history="1">
        <w:r>
          <w:rPr>
            <w:rStyle w:val="a4"/>
            <w:sz w:val="28"/>
            <w:szCs w:val="28"/>
          </w:rPr>
          <w:t>ч. 1</w:t>
        </w:r>
      </w:hyperlink>
      <w:r>
        <w:rPr>
          <w:sz w:val="28"/>
          <w:szCs w:val="28"/>
        </w:rPr>
        <w:t> ст. 33, ч. 2 ст. 29 ТК РФ).</w:t>
      </w:r>
    </w:p>
    <w:p w:rsidR="004829E7" w:rsidRDefault="004829E7" w:rsidP="004829E7">
      <w:pPr>
        <w:tabs>
          <w:tab w:val="left" w:pos="851"/>
        </w:tabs>
        <w:ind w:firstLine="567"/>
        <w:jc w:val="both"/>
        <w:rPr>
          <w:sz w:val="28"/>
          <w:szCs w:val="28"/>
        </w:rPr>
      </w:pPr>
      <w:r>
        <w:rPr>
          <w:sz w:val="28"/>
          <w:szCs w:val="28"/>
        </w:rPr>
        <w:t xml:space="preserve">Если первичная профсоюзная организация объединяет более половины работников организации, то в силу </w:t>
      </w:r>
      <w:hyperlink r:id="rId9" w:history="1">
        <w:r>
          <w:rPr>
            <w:rStyle w:val="a4"/>
            <w:sz w:val="28"/>
            <w:szCs w:val="28"/>
          </w:rPr>
          <w:t>ч. 3 ст. 37</w:t>
        </w:r>
      </w:hyperlink>
      <w:r>
        <w:rPr>
          <w:sz w:val="28"/>
          <w:szCs w:val="28"/>
        </w:rPr>
        <w:t xml:space="preserve"> ТК РФ она вправе по решению своего выборного органа направить работодателю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4829E7" w:rsidRDefault="004829E7" w:rsidP="004829E7">
      <w:pPr>
        <w:tabs>
          <w:tab w:val="left" w:pos="851"/>
        </w:tabs>
        <w:ind w:firstLine="567"/>
        <w:jc w:val="both"/>
        <w:rPr>
          <w:sz w:val="28"/>
          <w:szCs w:val="28"/>
        </w:rPr>
      </w:pPr>
      <w:r>
        <w:rPr>
          <w:sz w:val="28"/>
          <w:szCs w:val="28"/>
        </w:rPr>
        <w:t>Две или более профсоюзные организации, объединяющие в совокупности более половины работников, могут создать единый представительный орган, который будет представлять всех работников организации при ведении коллективных переговоров и заключении коллективного договора (</w:t>
      </w:r>
      <w:hyperlink r:id="rId10" w:anchor="/document/99/901807664/ZAP29PM3JQ/" w:tooltip="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 w:history="1">
        <w:r>
          <w:rPr>
            <w:rStyle w:val="a4"/>
            <w:sz w:val="28"/>
            <w:szCs w:val="28"/>
          </w:rPr>
          <w:t>ч. 2 ст. 37 ТК РФ</w:t>
        </w:r>
      </w:hyperlink>
      <w:r>
        <w:rPr>
          <w:sz w:val="28"/>
          <w:szCs w:val="28"/>
        </w:rPr>
        <w:t xml:space="preserve">). </w:t>
      </w:r>
    </w:p>
    <w:p w:rsidR="004829E7" w:rsidRDefault="004829E7" w:rsidP="004829E7">
      <w:pPr>
        <w:tabs>
          <w:tab w:val="left" w:pos="851"/>
        </w:tabs>
        <w:ind w:firstLine="567"/>
        <w:jc w:val="both"/>
        <w:rPr>
          <w:sz w:val="28"/>
          <w:szCs w:val="28"/>
        </w:rPr>
      </w:pPr>
      <w:r>
        <w:rPr>
          <w:sz w:val="28"/>
          <w:szCs w:val="28"/>
        </w:rPr>
        <w:t>Если работники не объединены в профсоюзные организации или ни одна из них не объединяет более половины работников, то на общем собрании сотрудников тайным голосованием может быть избран иной представитель или представительный орган из числа работников (</w:t>
      </w:r>
      <w:hyperlink r:id="rId11" w:anchor="/document/99/901807664/ZAP2LMQ3JH/" w:tooltip="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 w:history="1">
        <w:r>
          <w:rPr>
            <w:rStyle w:val="a4"/>
            <w:sz w:val="28"/>
            <w:szCs w:val="28"/>
          </w:rPr>
          <w:t>ч. 1 ст. 31 ТК РФ</w:t>
        </w:r>
      </w:hyperlink>
      <w:r>
        <w:rPr>
          <w:sz w:val="28"/>
          <w:szCs w:val="28"/>
        </w:rPr>
        <w:t>).</w:t>
      </w:r>
    </w:p>
    <w:p w:rsidR="004829E7" w:rsidRDefault="004829E7" w:rsidP="004829E7">
      <w:pPr>
        <w:tabs>
          <w:tab w:val="left" w:pos="851"/>
        </w:tabs>
        <w:ind w:firstLine="567"/>
        <w:jc w:val="both"/>
        <w:rPr>
          <w:sz w:val="28"/>
          <w:szCs w:val="28"/>
        </w:rPr>
      </w:pPr>
      <w:r>
        <w:rPr>
          <w:sz w:val="28"/>
          <w:szCs w:val="28"/>
        </w:rPr>
        <w:t>При проведении коллективных переговоров, заключении или изменении соглашений интересы работодателей представляют соответствующие объединения работодателей, интересы работников соответствующие профсоюзы, их территориальные организации, объединения профессиональных союзов и объединения территориальных организаций профессиональных союзов (</w:t>
      </w:r>
      <w:hyperlink r:id="rId12" w:anchor="/document/99/901807664/ZAP2K303OD/" w:tooltip="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 (часть.." w:history="1">
        <w:r>
          <w:rPr>
            <w:rStyle w:val="a4"/>
            <w:sz w:val="28"/>
            <w:szCs w:val="28"/>
          </w:rPr>
          <w:t xml:space="preserve">ч. </w:t>
        </w:r>
      </w:hyperlink>
      <w:r>
        <w:rPr>
          <w:sz w:val="28"/>
          <w:szCs w:val="28"/>
        </w:rPr>
        <w:t>2 ст. 33, ч. 3 ст.29 ТК РФ).</w:t>
      </w:r>
    </w:p>
    <w:p w:rsidR="004829E7" w:rsidRDefault="004829E7" w:rsidP="004829E7">
      <w:pPr>
        <w:tabs>
          <w:tab w:val="left" w:pos="851"/>
        </w:tabs>
        <w:ind w:firstLine="567"/>
        <w:jc w:val="both"/>
        <w:rPr>
          <w:sz w:val="28"/>
          <w:szCs w:val="28"/>
        </w:rPr>
      </w:pPr>
      <w:r>
        <w:rPr>
          <w:sz w:val="28"/>
          <w:szCs w:val="28"/>
        </w:rPr>
        <w:t xml:space="preserve">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w:t>
      </w:r>
      <w:r>
        <w:rPr>
          <w:sz w:val="28"/>
          <w:szCs w:val="28"/>
        </w:rPr>
        <w:lastRenderedPageBreak/>
        <w:t>представляемых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профсоюза (профсоюзов) (ч. 6 ст. 37 ТК РФ).</w:t>
      </w:r>
    </w:p>
    <w:p w:rsidR="004829E7" w:rsidRDefault="004829E7" w:rsidP="004829E7">
      <w:pPr>
        <w:tabs>
          <w:tab w:val="left" w:pos="851"/>
          <w:tab w:val="left" w:pos="1276"/>
        </w:tabs>
        <w:ind w:firstLine="567"/>
        <w:jc w:val="both"/>
        <w:rPr>
          <w:sz w:val="28"/>
          <w:szCs w:val="28"/>
        </w:rPr>
      </w:pPr>
      <w:r>
        <w:rPr>
          <w:sz w:val="28"/>
          <w:szCs w:val="28"/>
        </w:rPr>
        <w:t xml:space="preserve">Коллективный договор, соглашение в течение семи дней со дня подписания направляются работодателем, представителем работодателя (работодателей) на уведомительную регистрацию в соответствующий орган по труду. Согласно постановлению Правительства Республики Коми от 11 декабря 2015 года № 519 «О Министерстве труда, занятости и социальной защиты Республики Коми» государственная услуга по проведению уведомительной регистрации коллективных договоров, соглашений предоставляется Министерством труда, занятости и социальной защиты Республики Коми по адресу: </w:t>
      </w:r>
      <w:proofErr w:type="spellStart"/>
      <w:r>
        <w:rPr>
          <w:sz w:val="28"/>
          <w:szCs w:val="28"/>
        </w:rPr>
        <w:t>г</w:t>
      </w:r>
      <w:proofErr w:type="gramStart"/>
      <w:r>
        <w:rPr>
          <w:sz w:val="28"/>
          <w:szCs w:val="28"/>
        </w:rPr>
        <w:t>.С</w:t>
      </w:r>
      <w:proofErr w:type="gramEnd"/>
      <w:r>
        <w:rPr>
          <w:sz w:val="28"/>
          <w:szCs w:val="28"/>
        </w:rPr>
        <w:t>ыктывкар</w:t>
      </w:r>
      <w:proofErr w:type="spellEnd"/>
      <w:r>
        <w:rPr>
          <w:sz w:val="28"/>
          <w:szCs w:val="28"/>
        </w:rPr>
        <w:t>, ул. Интернациональная, 174, тел. 28-60-90.</w:t>
      </w:r>
    </w:p>
    <w:p w:rsidR="004829E7" w:rsidRDefault="004829E7" w:rsidP="004829E7">
      <w:pPr>
        <w:tabs>
          <w:tab w:val="left" w:pos="851"/>
        </w:tabs>
        <w:ind w:firstLine="567"/>
        <w:jc w:val="both"/>
        <w:rPr>
          <w:sz w:val="28"/>
          <w:szCs w:val="28"/>
        </w:rPr>
      </w:pPr>
      <w:proofErr w:type="gramStart"/>
      <w:r>
        <w:rPr>
          <w:sz w:val="28"/>
          <w:szCs w:val="28"/>
        </w:rPr>
        <w:t xml:space="preserve">Административный регламент предоставления государственной услуги по проведению уведомительной регистрации коллективных договоров, соглашений (далее – Административный регламент) утвержден приказом Министерства труда и социальной защиты Республики Коми № 764 от 21 апреля 2015 года и размещен на официальном сайте Министерства во вкладках «Административные регламенты» (раздел «Утвержденные административные регламенты»), «Социальное партнерство, раздел «Коллективные договоры» и находится в свободном доступе по ссылке </w:t>
      </w:r>
      <w:hyperlink r:id="rId13" w:history="1">
        <w:r>
          <w:rPr>
            <w:rStyle w:val="a4"/>
            <w:sz w:val="28"/>
            <w:szCs w:val="28"/>
          </w:rPr>
          <w:t>http://mintrudsoc.rkomi.ru</w:t>
        </w:r>
        <w:proofErr w:type="gramEnd"/>
        <w:r>
          <w:rPr>
            <w:rStyle w:val="a4"/>
            <w:sz w:val="28"/>
            <w:szCs w:val="28"/>
          </w:rPr>
          <w:t>/page/11947/34609/</w:t>
        </w:r>
      </w:hyperlink>
      <w:r>
        <w:rPr>
          <w:sz w:val="28"/>
          <w:szCs w:val="28"/>
          <w:u w:val="single"/>
        </w:rPr>
        <w:t>,</w:t>
      </w:r>
      <w:r>
        <w:rPr>
          <w:color w:val="000000"/>
          <w:sz w:val="28"/>
          <w:szCs w:val="28"/>
        </w:rPr>
        <w:t xml:space="preserve"> а также </w:t>
      </w:r>
      <w:r>
        <w:rPr>
          <w:sz w:val="28"/>
          <w:szCs w:val="28"/>
        </w:rPr>
        <w:t xml:space="preserve">в базе СПС </w:t>
      </w:r>
      <w:proofErr w:type="spellStart"/>
      <w:r>
        <w:rPr>
          <w:sz w:val="28"/>
          <w:szCs w:val="28"/>
        </w:rPr>
        <w:t>КонсультантПлюс</w:t>
      </w:r>
      <w:proofErr w:type="spellEnd"/>
      <w:r>
        <w:rPr>
          <w:sz w:val="28"/>
          <w:szCs w:val="28"/>
        </w:rPr>
        <w:t>.</w:t>
      </w:r>
    </w:p>
    <w:p w:rsidR="004829E7" w:rsidRDefault="004829E7" w:rsidP="004829E7">
      <w:pPr>
        <w:tabs>
          <w:tab w:val="left" w:pos="851"/>
        </w:tabs>
        <w:ind w:firstLine="567"/>
        <w:jc w:val="both"/>
        <w:rPr>
          <w:sz w:val="28"/>
          <w:szCs w:val="28"/>
        </w:rPr>
      </w:pPr>
      <w:r>
        <w:rPr>
          <w:sz w:val="28"/>
          <w:szCs w:val="28"/>
        </w:rPr>
        <w:t xml:space="preserve"> С порядком получения государственной услуги можно ознакомиться на портале Государственных услуг Республики Коми </w:t>
      </w:r>
      <w:r>
        <w:rPr>
          <w:sz w:val="28"/>
          <w:szCs w:val="28"/>
          <w:lang w:val="en-US"/>
        </w:rPr>
        <w:t>www</w:t>
      </w:r>
      <w:r>
        <w:rPr>
          <w:sz w:val="28"/>
          <w:szCs w:val="28"/>
        </w:rPr>
        <w:t>.</w:t>
      </w:r>
      <w:hyperlink r:id="rId14" w:history="1">
        <w:r>
          <w:rPr>
            <w:rStyle w:val="a4"/>
            <w:sz w:val="28"/>
            <w:szCs w:val="28"/>
            <w:lang w:val="en-US"/>
          </w:rPr>
          <w:t>pgu</w:t>
        </w:r>
        <w:r>
          <w:rPr>
            <w:rStyle w:val="a4"/>
            <w:sz w:val="28"/>
            <w:szCs w:val="28"/>
          </w:rPr>
          <w:t>.</w:t>
        </w:r>
        <w:r>
          <w:rPr>
            <w:rStyle w:val="a4"/>
            <w:sz w:val="28"/>
            <w:szCs w:val="28"/>
            <w:lang w:val="en-US"/>
          </w:rPr>
          <w:t>rkomi</w:t>
        </w:r>
        <w:r>
          <w:rPr>
            <w:rStyle w:val="a4"/>
            <w:sz w:val="28"/>
            <w:szCs w:val="28"/>
          </w:rPr>
          <w:t>.</w:t>
        </w:r>
        <w:r>
          <w:rPr>
            <w:rStyle w:val="a4"/>
            <w:sz w:val="28"/>
            <w:szCs w:val="28"/>
            <w:lang w:val="en-US"/>
          </w:rPr>
          <w:t>ru</w:t>
        </w:r>
      </w:hyperlink>
      <w:r>
        <w:rPr>
          <w:sz w:val="28"/>
          <w:szCs w:val="28"/>
        </w:rPr>
        <w:t xml:space="preserve">. и на Едином портале государственных услуг </w:t>
      </w:r>
      <w:r>
        <w:rPr>
          <w:sz w:val="28"/>
          <w:szCs w:val="28"/>
          <w:lang w:val="en-US"/>
        </w:rPr>
        <w:t>www</w:t>
      </w:r>
      <w:r>
        <w:rPr>
          <w:sz w:val="28"/>
          <w:szCs w:val="28"/>
        </w:rPr>
        <w:t>.gosuslugi.ru.</w:t>
      </w:r>
    </w:p>
    <w:p w:rsidR="004829E7" w:rsidRDefault="004829E7" w:rsidP="004829E7">
      <w:pPr>
        <w:tabs>
          <w:tab w:val="left" w:pos="851"/>
        </w:tabs>
        <w:ind w:firstLine="567"/>
        <w:jc w:val="both"/>
        <w:rPr>
          <w:sz w:val="28"/>
          <w:szCs w:val="28"/>
        </w:rPr>
      </w:pPr>
      <w:r>
        <w:rPr>
          <w:sz w:val="28"/>
          <w:szCs w:val="28"/>
        </w:rPr>
        <w:t>Для получения государственной услуги по проведению уведомительной регистрации соглашений, коллективных договоров пунктом 2.9. Административного регламента предусматривается предоставление следующих документов:</w:t>
      </w:r>
    </w:p>
    <w:p w:rsidR="004829E7" w:rsidRDefault="004829E7" w:rsidP="004829E7">
      <w:pPr>
        <w:tabs>
          <w:tab w:val="left" w:pos="851"/>
        </w:tabs>
        <w:ind w:firstLine="567"/>
        <w:jc w:val="both"/>
        <w:rPr>
          <w:sz w:val="28"/>
          <w:szCs w:val="28"/>
        </w:rPr>
      </w:pPr>
      <w:r>
        <w:rPr>
          <w:sz w:val="28"/>
          <w:szCs w:val="28"/>
        </w:rPr>
        <w:t xml:space="preserve">1) заявление о проведении уведомительной регистрации коллективного договора, соглашения по рекомендуемой форме, указанной в </w:t>
      </w:r>
      <w:hyperlink r:id="rId15" w:history="1">
        <w:r>
          <w:rPr>
            <w:rStyle w:val="a4"/>
            <w:sz w:val="28"/>
            <w:szCs w:val="28"/>
          </w:rPr>
          <w:t>приложениях № 2</w:t>
        </w:r>
      </w:hyperlink>
      <w:r>
        <w:rPr>
          <w:sz w:val="28"/>
          <w:szCs w:val="28"/>
        </w:rPr>
        <w:t xml:space="preserve">, </w:t>
      </w:r>
      <w:hyperlink r:id="rId16" w:history="1">
        <w:r>
          <w:rPr>
            <w:rStyle w:val="a4"/>
            <w:sz w:val="28"/>
            <w:szCs w:val="28"/>
          </w:rPr>
          <w:t>3</w:t>
        </w:r>
      </w:hyperlink>
      <w:r>
        <w:rPr>
          <w:sz w:val="28"/>
          <w:szCs w:val="28"/>
        </w:rPr>
        <w:t xml:space="preserve"> к Административному регламенту;</w:t>
      </w:r>
    </w:p>
    <w:p w:rsidR="004829E7" w:rsidRDefault="004829E7" w:rsidP="004829E7">
      <w:pPr>
        <w:tabs>
          <w:tab w:val="left" w:pos="851"/>
        </w:tabs>
        <w:ind w:firstLine="567"/>
        <w:jc w:val="both"/>
        <w:rPr>
          <w:sz w:val="28"/>
          <w:szCs w:val="28"/>
        </w:rPr>
      </w:pPr>
      <w:r>
        <w:rPr>
          <w:sz w:val="28"/>
          <w:szCs w:val="28"/>
        </w:rPr>
        <w:t>2) коллективный договор, соглашение с приложениями, на которые есть ссылки в коллективном договоре, соглашении, подписанные сторонами, в количестве экземпляров по числу подписавших сторон и один экземпляр для Министерства;</w:t>
      </w:r>
    </w:p>
    <w:p w:rsidR="004829E7" w:rsidRDefault="004829E7" w:rsidP="004829E7">
      <w:pPr>
        <w:tabs>
          <w:tab w:val="left" w:pos="851"/>
        </w:tabs>
        <w:ind w:firstLine="567"/>
        <w:jc w:val="both"/>
        <w:rPr>
          <w:sz w:val="28"/>
          <w:szCs w:val="28"/>
        </w:rPr>
      </w:pPr>
      <w:r>
        <w:rPr>
          <w:sz w:val="28"/>
          <w:szCs w:val="28"/>
        </w:rPr>
        <w:t xml:space="preserve">3) копия протокола (выписка из протокола) общего собрания (конференции) работников о делегировании полномочий на представление интересов работников организации и подписание коллективного договора, уполномоченному лицу (для организаций, где отсутствует первичная профсоюзная организация, или ни одна из имеющихся первичных </w:t>
      </w:r>
      <w:r>
        <w:rPr>
          <w:sz w:val="28"/>
          <w:szCs w:val="28"/>
        </w:rPr>
        <w:lastRenderedPageBreak/>
        <w:t>профсоюзных организаций не объединяет более половины работников данной организации), в одном экземпляре.</w:t>
      </w:r>
    </w:p>
    <w:p w:rsidR="004829E7" w:rsidRDefault="004829E7" w:rsidP="004829E7">
      <w:pPr>
        <w:tabs>
          <w:tab w:val="left" w:pos="851"/>
        </w:tabs>
        <w:ind w:firstLine="567"/>
        <w:jc w:val="both"/>
        <w:rPr>
          <w:sz w:val="28"/>
          <w:szCs w:val="28"/>
        </w:rPr>
      </w:pPr>
      <w:r>
        <w:rPr>
          <w:sz w:val="28"/>
          <w:szCs w:val="28"/>
        </w:rPr>
        <w:t xml:space="preserve">Заявление на проведение уведомительной регистрации коллективного договора, соглашения должно </w:t>
      </w:r>
      <w:proofErr w:type="gramStart"/>
      <w:r>
        <w:rPr>
          <w:sz w:val="28"/>
          <w:szCs w:val="28"/>
        </w:rPr>
        <w:t>содержать</w:t>
      </w:r>
      <w:proofErr w:type="gramEnd"/>
      <w:r>
        <w:rPr>
          <w:sz w:val="28"/>
          <w:szCs w:val="28"/>
        </w:rPr>
        <w:t xml:space="preserve"> в том числе следующую информацию: полное наименование организации (индивидуального предпринимателя), ОГРН (ОГРНИП), адрес регистрации (почтовый адрес), Ф.И.О. руководителя организации, Ф.И.О., телефон контактного лица, ОКВЭД, форму собственности, списочную численность работников, членов профсоюза (при наличии), количество организаций, охваченных соглашением (при направлении на уведомительную регистрацию соглашения).</w:t>
      </w:r>
    </w:p>
    <w:p w:rsidR="004829E7" w:rsidRDefault="004829E7" w:rsidP="004829E7">
      <w:pPr>
        <w:tabs>
          <w:tab w:val="left" w:pos="851"/>
        </w:tabs>
        <w:ind w:firstLine="567"/>
        <w:jc w:val="both"/>
        <w:rPr>
          <w:sz w:val="28"/>
          <w:szCs w:val="28"/>
        </w:rPr>
      </w:pPr>
      <w:r>
        <w:rPr>
          <w:sz w:val="28"/>
          <w:szCs w:val="28"/>
        </w:rPr>
        <w:t>При направлении коллективного договора, соглашения на уведомительную регистрацию необходимо соблюдать установленные требования документооборота и делопроизводства, в частности, коллективный договор, соглашение должен (должно) быть представле</w:t>
      </w:r>
      <w:proofErr w:type="gramStart"/>
      <w:r>
        <w:rPr>
          <w:sz w:val="28"/>
          <w:szCs w:val="28"/>
        </w:rPr>
        <w:t>н(</w:t>
      </w:r>
      <w:proofErr w:type="gramEnd"/>
      <w:r>
        <w:rPr>
          <w:sz w:val="28"/>
          <w:szCs w:val="28"/>
        </w:rPr>
        <w:t xml:space="preserve">о) с приложениями, на которые есть ссылки в коллективном договоре, (соглашении) подписанный сторонами,  в количестве экземпляров по числу подписавших сторон и один экземпляр для Министерства труда и социальной защиты Республики Коми, содержать титульный лист, содержание, подписи и печати (при наличии) полномочных представителей сторон. Страницы коллективного договора, соглашения должны быть </w:t>
      </w:r>
      <w:proofErr w:type="gramStart"/>
      <w:r>
        <w:rPr>
          <w:sz w:val="28"/>
          <w:szCs w:val="28"/>
        </w:rPr>
        <w:t>пронумерованы и прошиты</w:t>
      </w:r>
      <w:proofErr w:type="gramEnd"/>
      <w:r>
        <w:rPr>
          <w:sz w:val="28"/>
          <w:szCs w:val="28"/>
        </w:rPr>
        <w:t>.</w:t>
      </w:r>
    </w:p>
    <w:p w:rsidR="004829E7" w:rsidRDefault="004829E7" w:rsidP="004829E7">
      <w:pPr>
        <w:tabs>
          <w:tab w:val="left" w:pos="851"/>
        </w:tabs>
        <w:ind w:firstLine="567"/>
        <w:jc w:val="both"/>
        <w:rPr>
          <w:sz w:val="28"/>
          <w:szCs w:val="28"/>
        </w:rPr>
      </w:pPr>
      <w:r>
        <w:rPr>
          <w:sz w:val="28"/>
          <w:szCs w:val="28"/>
        </w:rPr>
        <w:t>Вышеуказанные требования Административного регламента и документооборота необходимо соблюдать и при направлении на уведомительную регистрацию изменений и дополнений в соглашения и коллективные договоры.</w:t>
      </w:r>
    </w:p>
    <w:p w:rsidR="004829E7" w:rsidRDefault="004829E7" w:rsidP="004829E7">
      <w:pPr>
        <w:tabs>
          <w:tab w:val="left" w:pos="851"/>
        </w:tabs>
        <w:ind w:firstLine="567"/>
        <w:jc w:val="both"/>
        <w:rPr>
          <w:bCs/>
          <w:sz w:val="28"/>
          <w:szCs w:val="28"/>
        </w:rPr>
      </w:pPr>
      <w:r>
        <w:rPr>
          <w:bCs/>
          <w:sz w:val="28"/>
          <w:szCs w:val="28"/>
        </w:rPr>
        <w:t>Изменение и дополнение коллективного договора (соглашения) производятся в порядке, установленном настоящим ТК РФ, либо в порядке, установленном коллективным договором (соглашением) (ст. 44, 49 ТК РФ).</w:t>
      </w:r>
    </w:p>
    <w:p w:rsidR="004829E7" w:rsidRDefault="004829E7" w:rsidP="004829E7">
      <w:pPr>
        <w:tabs>
          <w:tab w:val="left" w:pos="851"/>
        </w:tabs>
        <w:ind w:firstLine="567"/>
        <w:jc w:val="both"/>
        <w:rPr>
          <w:sz w:val="28"/>
          <w:szCs w:val="28"/>
        </w:rPr>
      </w:pPr>
      <w:r>
        <w:rPr>
          <w:sz w:val="28"/>
          <w:szCs w:val="28"/>
        </w:rPr>
        <w:t>Изменения и дополнения условий коллективного договора (соглашения) оформляются отдельным документом, который также направляется на уведомительную регистрацию в Министерство.</w:t>
      </w:r>
    </w:p>
    <w:p w:rsidR="004829E7" w:rsidRDefault="004829E7" w:rsidP="004829E7">
      <w:pPr>
        <w:tabs>
          <w:tab w:val="left" w:pos="851"/>
        </w:tabs>
        <w:ind w:firstLine="567"/>
        <w:jc w:val="both"/>
        <w:rPr>
          <w:sz w:val="28"/>
          <w:szCs w:val="28"/>
        </w:rPr>
      </w:pPr>
      <w:r>
        <w:rPr>
          <w:sz w:val="28"/>
          <w:szCs w:val="28"/>
        </w:rPr>
        <w:t xml:space="preserve">С примерной формой изменений и дополнений в коллективный договор можно ознакомиться на официальном сайте Министерства во вкладке «Социальное партнерство», разделе «Коллективные договоры» по ссылке  </w:t>
      </w:r>
      <w:hyperlink r:id="rId17" w:history="1">
        <w:r>
          <w:rPr>
            <w:rStyle w:val="a4"/>
            <w:sz w:val="28"/>
            <w:szCs w:val="28"/>
          </w:rPr>
          <w:t>http://mintrudsoc.rkomi.ru/page/11775/</w:t>
        </w:r>
      </w:hyperlink>
      <w:r>
        <w:rPr>
          <w:sz w:val="28"/>
          <w:szCs w:val="28"/>
        </w:rPr>
        <w:t>.</w:t>
      </w:r>
    </w:p>
    <w:p w:rsidR="004829E7" w:rsidRDefault="004829E7" w:rsidP="004829E7">
      <w:pPr>
        <w:tabs>
          <w:tab w:val="left" w:pos="851"/>
        </w:tabs>
        <w:ind w:firstLine="567"/>
        <w:jc w:val="both"/>
        <w:rPr>
          <w:sz w:val="14"/>
          <w:szCs w:val="14"/>
        </w:rPr>
      </w:pPr>
      <w:r>
        <w:rPr>
          <w:bCs/>
          <w:sz w:val="28"/>
          <w:szCs w:val="28"/>
        </w:rPr>
        <w:t>В соответствии со статьей 9 ТК РФ коллективные договоры не могут содержать условий, ограничивающих права или снижающих уровень гарантий работников по сравнению с установленным трудовым законодательством и иными нормативными правовыми актами, содержащими нормы трудового права.</w:t>
      </w:r>
    </w:p>
    <w:p w:rsidR="004829E7" w:rsidRDefault="004829E7" w:rsidP="004829E7">
      <w:pPr>
        <w:jc w:val="both"/>
        <w:rPr>
          <w:sz w:val="14"/>
          <w:szCs w:val="14"/>
        </w:rPr>
      </w:pPr>
    </w:p>
    <w:p w:rsidR="004829E7" w:rsidRDefault="004829E7" w:rsidP="004829E7">
      <w:pPr>
        <w:jc w:val="both"/>
        <w:rPr>
          <w:sz w:val="14"/>
          <w:szCs w:val="14"/>
        </w:rPr>
      </w:pPr>
    </w:p>
    <w:p w:rsidR="004829E7" w:rsidRDefault="004829E7" w:rsidP="004829E7">
      <w:pPr>
        <w:jc w:val="both"/>
        <w:rPr>
          <w:sz w:val="14"/>
          <w:szCs w:val="14"/>
        </w:rPr>
      </w:pPr>
    </w:p>
    <w:p w:rsidR="004829E7" w:rsidRDefault="004829E7" w:rsidP="004829E7">
      <w:pPr>
        <w:jc w:val="both"/>
        <w:rPr>
          <w:sz w:val="14"/>
          <w:szCs w:val="14"/>
        </w:rPr>
      </w:pPr>
    </w:p>
    <w:p w:rsidR="004829E7" w:rsidRDefault="004829E7" w:rsidP="004829E7">
      <w:pPr>
        <w:jc w:val="both"/>
        <w:rPr>
          <w:sz w:val="14"/>
          <w:szCs w:val="14"/>
        </w:rPr>
      </w:pPr>
    </w:p>
    <w:p w:rsidR="004829E7" w:rsidRDefault="004829E7" w:rsidP="004829E7">
      <w:pPr>
        <w:spacing w:line="276" w:lineRule="auto"/>
        <w:rPr>
          <w:rFonts w:eastAsia="Calibri"/>
          <w:sz w:val="16"/>
          <w:szCs w:val="16"/>
          <w:lang w:eastAsia="en-US"/>
        </w:rPr>
      </w:pPr>
    </w:p>
    <w:p w:rsidR="004829E7" w:rsidRDefault="004829E7" w:rsidP="004829E7">
      <w:pPr>
        <w:jc w:val="both"/>
        <w:rPr>
          <w:sz w:val="14"/>
          <w:szCs w:val="14"/>
        </w:rPr>
      </w:pPr>
      <w:bookmarkStart w:id="0" w:name="_GoBack"/>
      <w:bookmarkEnd w:id="0"/>
    </w:p>
    <w:sectPr w:rsidR="004829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9E7"/>
    <w:rsid w:val="004829E7"/>
    <w:rsid w:val="007841FE"/>
    <w:rsid w:val="00DA31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9E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29E7"/>
    <w:pPr>
      <w:spacing w:after="0" w:line="240" w:lineRule="auto"/>
    </w:pPr>
    <w:rPr>
      <w:rFonts w:ascii="Times New Roman" w:eastAsia="Times New Roman" w:hAnsi="Times New Roman" w:cs="Times New Roman"/>
      <w:sz w:val="20"/>
      <w:szCs w:val="20"/>
      <w:lang w:eastAsia="ru-RU"/>
    </w:rPr>
  </w:style>
  <w:style w:type="character" w:styleId="a4">
    <w:name w:val="Hyperlink"/>
    <w:basedOn w:val="a0"/>
    <w:uiPriority w:val="99"/>
    <w:semiHidden/>
    <w:unhideWhenUsed/>
    <w:rsid w:val="004829E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9E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829E7"/>
    <w:pPr>
      <w:spacing w:after="0" w:line="240" w:lineRule="auto"/>
    </w:pPr>
    <w:rPr>
      <w:rFonts w:ascii="Times New Roman" w:eastAsia="Times New Roman" w:hAnsi="Times New Roman" w:cs="Times New Roman"/>
      <w:sz w:val="20"/>
      <w:szCs w:val="20"/>
      <w:lang w:eastAsia="ru-RU"/>
    </w:rPr>
  </w:style>
  <w:style w:type="character" w:styleId="a4">
    <w:name w:val="Hyperlink"/>
    <w:basedOn w:val="a0"/>
    <w:uiPriority w:val="99"/>
    <w:semiHidden/>
    <w:unhideWhenUsed/>
    <w:rsid w:val="004829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59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dget.1kadry.ru/" TargetMode="External"/><Relationship Id="rId13" Type="http://schemas.openxmlformats.org/officeDocument/2006/relationships/hyperlink" Target="http://mintrudsoc.rkomi.ru/page/11947/3460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FFA53BA8B4C53580568496718DD6C7010E2F2A1875ABE1D9472C95B5BDB005D84AAE50B04F0F8F051C3FD8F18ED718E510559772A5125B7e2WDJ" TargetMode="External"/><Relationship Id="rId12" Type="http://schemas.openxmlformats.org/officeDocument/2006/relationships/hyperlink" Target="https://budget.1kadry.ru/" TargetMode="External"/><Relationship Id="rId17" Type="http://schemas.openxmlformats.org/officeDocument/2006/relationships/hyperlink" Target="http://mintrudsoc.rkomi.ru/page/11775/" TargetMode="External"/><Relationship Id="rId2" Type="http://schemas.microsoft.com/office/2007/relationships/stylesWithEffects" Target="stylesWithEffects.xml"/><Relationship Id="rId16" Type="http://schemas.openxmlformats.org/officeDocument/2006/relationships/hyperlink" Target="consultantplus://offline/ref=9DC20B59BB28AEC89AC9E7215E23F96E90FB1DA167E3DADC5D2261675D6B3C50B0BCEE016FF0889139A9DABADF57B772A213ECF2D9BB3B74AB8A857ADAL0N" TargetMode="External"/><Relationship Id="rId1" Type="http://schemas.openxmlformats.org/officeDocument/2006/relationships/styles" Target="styles.xml"/><Relationship Id="rId6" Type="http://schemas.openxmlformats.org/officeDocument/2006/relationships/hyperlink" Target="consultantplus://offline/ref=5FFA53BA8B4C53580568496718DD6C7010E2F2A1875ABE1D9472C95B5BDB005D84AAE50B04F0F8FE51C3FD8F18ED718E510559772A5125B7e2WDJ" TargetMode="External"/><Relationship Id="rId11" Type="http://schemas.openxmlformats.org/officeDocument/2006/relationships/hyperlink" Target="https://budget.1kadry.ru/" TargetMode="External"/><Relationship Id="rId5" Type="http://schemas.openxmlformats.org/officeDocument/2006/relationships/hyperlink" Target="consultantplus://offline/ref=5FFA53BA8B4C53580568496718DD6C7010E2F2A1875ABE1D9472C95B5BDB005D84AAE50B04F0F8FC58C3FD8F18ED718E510559772A5125B7e2WDJ" TargetMode="External"/><Relationship Id="rId15" Type="http://schemas.openxmlformats.org/officeDocument/2006/relationships/hyperlink" Target="consultantplus://offline/ref=9DC20B59BB28AEC89AC9E7215E23F96E90FB1DA167E3DADC5D2261675D6B3C50B0BCEE016FF0889139A9DDB8DD57B772A213ECF2D9BB3B74AB8A857ADAL0N" TargetMode="External"/><Relationship Id="rId10" Type="http://schemas.openxmlformats.org/officeDocument/2006/relationships/hyperlink" Target="https://budget.1kadry.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DA9019BAEBC27B02D66F1BC576F98BEF68441473F03675780B14BA979B92214D4853803092BCD396DE6DCE329B4F73B8BC9C210162J3Y1J" TargetMode="External"/><Relationship Id="rId14" Type="http://schemas.openxmlformats.org/officeDocument/2006/relationships/hyperlink" Target="http://pgu.rkom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1481</Words>
  <Characters>8447</Characters>
  <Application>Microsoft Office Word</Application>
  <DocSecurity>0</DocSecurity>
  <Lines>70</Lines>
  <Paragraphs>19</Paragraphs>
  <ScaleCrop>false</ScaleCrop>
  <Company/>
  <LinksUpToDate>false</LinksUpToDate>
  <CharactersWithSpaces>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dc:creator>
  <cp:lastModifiedBy>Попов</cp:lastModifiedBy>
  <cp:revision>2</cp:revision>
  <dcterms:created xsi:type="dcterms:W3CDTF">2019-06-10T07:14:00Z</dcterms:created>
  <dcterms:modified xsi:type="dcterms:W3CDTF">2019-06-10T07:15:00Z</dcterms:modified>
</cp:coreProperties>
</file>