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5D" w:rsidRDefault="00BB623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46115D" w:rsidRDefault="00BB623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46115D" w:rsidRDefault="00BB623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  <w:t xml:space="preserve"> 25.06.2025 № 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-31/9</w:t>
      </w:r>
    </w:p>
    <w:p w:rsidR="0046115D" w:rsidRDefault="004611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6115D" w:rsidRDefault="00BB62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6115D" w:rsidRDefault="00BB62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II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квартал 2025 года</w:t>
      </w:r>
      <w:bookmarkStart w:id="0" w:name="_GoBack"/>
      <w:bookmarkEnd w:id="0"/>
    </w:p>
    <w:p w:rsidR="0046115D" w:rsidRDefault="00BB62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W w:w="1531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"/>
        <w:gridCol w:w="4962"/>
        <w:gridCol w:w="1419"/>
        <w:gridCol w:w="1418"/>
        <w:gridCol w:w="4816"/>
        <w:gridCol w:w="1993"/>
      </w:tblGrid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(достигнут/</w:t>
            </w:r>
          </w:p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отчислений) в общем объеме собственных доходов бюджета муниципального образования (без учета субвенций)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21,3% по первоначальному бюджету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rPr>
          <w:trHeight w:val="21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у муниципального образования муниципального района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готовности получен. </w:t>
            </w:r>
            <w:r>
              <w:rPr>
                <w:rFonts w:ascii="Times New Roman" w:hAnsi="Times New Roman"/>
                <w:sz w:val="24"/>
                <w:szCs w:val="24"/>
              </w:rPr>
              <w:t>Просроченной задолженности за коммунальные услуги по бюджетным учреждениям нет.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напряженности на рынке труда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Коэффициент напряженности на рынке труда составил 2,3 чел. на 1 вакансию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rPr>
          <w:trHeight w:val="1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100 % образовательных организаций имеют лицензию на право </w:t>
            </w:r>
            <w:r>
              <w:rPr>
                <w:rFonts w:ascii="Times New Roman" w:hAnsi="Times New Roman"/>
                <w:sz w:val="24"/>
                <w:szCs w:val="24"/>
              </w:rPr>
              <w:t>ведения образовательной деятельности, а также ежегодно проводятся текущие и капитальные ремонты в образовательных организациях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составляет 72,3%. </w:t>
            </w:r>
            <w:r>
              <w:rPr>
                <w:rFonts w:ascii="Times New Roman" w:hAnsi="Times New Roman"/>
                <w:sz w:val="24"/>
                <w:szCs w:val="24"/>
              </w:rPr>
              <w:t>Показатель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Достигнут 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 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43,2 %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более 1,5 %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1,18%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за 2024 год составил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21,3%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Задолженность по взносам за капитальные ремонт МКД в Региональный фонд капитального ремонта МКД отсутствует.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Достижение установленных республиканской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завершена в 2024 году. Все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освоены на 100 %, все помещения построены и приняты в собственность.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Достигнут</w:t>
            </w:r>
          </w:p>
        </w:tc>
      </w:tr>
      <w:tr w:rsidR="0046115D">
        <w:trPr>
          <w:trHeight w:val="5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посевных площадей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5D" w:rsidRDefault="00BB623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Плановые показатели на 2025 год: 5052 га (4387 га посевные площади организаций и 665 га площади посевных </w:t>
            </w:r>
            <w:r>
              <w:rPr>
                <w:rFonts w:ascii="Times New Roman" w:hAnsi="Times New Roman"/>
                <w:sz w:val="24"/>
                <w:szCs w:val="24"/>
              </w:rPr>
              <w:t>площадей ИП К(Ф)Х)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6115D">
        <w:trPr>
          <w:trHeight w:val="331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5D" w:rsidRDefault="00BB6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Достигнуто 12 показателей из 12 (100%)</w:t>
            </w:r>
          </w:p>
        </w:tc>
      </w:tr>
    </w:tbl>
    <w:p w:rsidR="0046115D" w:rsidRDefault="0046115D"/>
    <w:sectPr w:rsidR="0046115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5D"/>
    <w:rsid w:val="0046115D"/>
    <w:rsid w:val="00B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DA17"/>
  <w15:docId w15:val="{0BBC9170-8D13-4DD5-8C5D-110FB5AE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34CA3-64F5-435D-94BF-9CB61F03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66</cp:revision>
  <cp:lastPrinted>2025-06-19T08:31:00Z</cp:lastPrinted>
  <dcterms:created xsi:type="dcterms:W3CDTF">2024-07-02T08:11:00Z</dcterms:created>
  <dcterms:modified xsi:type="dcterms:W3CDTF">2025-06-19T08:31:00Z</dcterms:modified>
</cp:coreProperties>
</file>