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7DB4D" w14:textId="39698769" w:rsidR="00F80447" w:rsidRDefault="00FF63F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80447"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14:paraId="152500C0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479A8F2E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публикуется в порядке, установленном для официального опубликования (обнародования) муниципальных правовых актов уставами сельских поселений «Большелуг», «Корткерос», «Пезмег». </w:t>
      </w:r>
    </w:p>
    <w:p w14:paraId="0F73B1DA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«Корткеросский» от 30.01.2023 № 151.</w:t>
      </w:r>
    </w:p>
    <w:p w14:paraId="647ABF60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540CB525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68E1C2B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14.03.2023 в 10.00 часов. </w:t>
      </w:r>
    </w:p>
    <w:p w14:paraId="14DB5B4A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3E49EC2A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5EFA2" w14:textId="77777777" w:rsidR="00F80447" w:rsidRDefault="00F80447" w:rsidP="00F80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59F6F4AA" w14:textId="77777777" w:rsidR="00F80447" w:rsidRDefault="00F80447" w:rsidP="00F804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14FD4A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2A45F06D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Выльыб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82558D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1500 кв. м.</w:t>
      </w:r>
    </w:p>
    <w:p w14:paraId="2BCE28BE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11:06:0201001:828.</w:t>
      </w:r>
    </w:p>
    <w:p w14:paraId="1EFDC56F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Право на земельный участок: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не разграничена. </w:t>
      </w:r>
    </w:p>
    <w:p w14:paraId="088C06F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строительная промышленность. </w:t>
      </w:r>
    </w:p>
    <w:p w14:paraId="7EF340A9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55048FED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2B124CBE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</w:t>
      </w:r>
      <w:r>
        <w:rPr>
          <w:rFonts w:ascii="Times New Roman" w:hAnsi="Times New Roman"/>
          <w:color w:val="000000"/>
          <w:sz w:val="24"/>
          <w:szCs w:val="24"/>
        </w:rPr>
        <w:t>возможность подключения планируемого объекта (объектов) к сетям инженерно-технического обеспечения (водоснабжения, водоотведения, теплоснабжения) отсутствует.</w:t>
      </w:r>
    </w:p>
    <w:p w14:paraId="7816E019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43380,00 рублей (Сорок три тысячи триста восемьдесят рублей 00 копеек) без учета НДС.</w:t>
      </w:r>
    </w:p>
    <w:p w14:paraId="20A01F70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1301,00 рубль (Одна тысяча триста один рубль 00 копеек) без учета НДС.  </w:t>
      </w:r>
    </w:p>
    <w:p w14:paraId="39E2C502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8676,00 рублей (Восемь тысяч шестьсот семьдесят шесть рублей 00 копеек) без учета НДС.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14:paraId="4BACB5D8" w14:textId="77777777" w:rsidR="00F80447" w:rsidRDefault="00F80447" w:rsidP="00F8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Максимально и (или) минимально допустимые параметры разрешенного строительства объекта капитального строительства:</w:t>
      </w:r>
    </w:p>
    <w:p w14:paraId="3BC8EA5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Земельный участок расположен в территориальной зоне П4 (зона производственных и коммунальных объектов не выше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класса санитарной опасности).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«Большелуг». </w:t>
      </w:r>
    </w:p>
    <w:p w14:paraId="25D2373D" w14:textId="77777777" w:rsidR="00F80447" w:rsidRDefault="00F80447" w:rsidP="00F80447">
      <w:pPr>
        <w:keepNext/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капитального строительства, расположенных в территориальных зонах П3, П4, П5, К:</w:t>
      </w:r>
    </w:p>
    <w:p w14:paraId="0C9DE4C6" w14:textId="77777777" w:rsidR="00F80447" w:rsidRDefault="00F80447" w:rsidP="00F80447">
      <w:pPr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параметрам сооружений и границам земельных участков в соответствии с</w:t>
      </w:r>
    </w:p>
    <w:p w14:paraId="205E2998" w14:textId="77777777" w:rsidR="00F80447" w:rsidRDefault="00F80447" w:rsidP="00F80447">
      <w:pPr>
        <w:pStyle w:val="af0"/>
        <w:widowControl/>
        <w:numPr>
          <w:ilvl w:val="0"/>
          <w:numId w:val="14"/>
        </w:numPr>
        <w:tabs>
          <w:tab w:val="left" w:pos="567"/>
          <w:tab w:val="left" w:pos="851"/>
        </w:tabs>
        <w:autoSpaceDE/>
        <w:ind w:left="0" w:right="140" w:firstLine="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СП 42.13330.2011 «Градостроительство. Планировка и застройка городских и сельских поселений»; </w:t>
      </w:r>
    </w:p>
    <w:p w14:paraId="576E5F65" w14:textId="77777777" w:rsidR="00F80447" w:rsidRDefault="00F80447" w:rsidP="00F80447">
      <w:pPr>
        <w:pStyle w:val="af0"/>
        <w:widowControl/>
        <w:numPr>
          <w:ilvl w:val="0"/>
          <w:numId w:val="14"/>
        </w:numPr>
        <w:tabs>
          <w:tab w:val="left" w:pos="567"/>
          <w:tab w:val="left" w:pos="851"/>
        </w:tabs>
        <w:autoSpaceDE/>
        <w:ind w:left="0" w:right="140" w:firstLine="284"/>
        <w:contextualSpacing/>
        <w:rPr>
          <w:sz w:val="24"/>
          <w:szCs w:val="24"/>
        </w:rPr>
      </w:pPr>
      <w:r>
        <w:rPr>
          <w:sz w:val="24"/>
          <w:szCs w:val="24"/>
        </w:rPr>
        <w:t>СП 18.13330.2011 «Генеральные планы промышленных предприятий»;</w:t>
      </w:r>
    </w:p>
    <w:p w14:paraId="404E81DA" w14:textId="77777777" w:rsidR="00F80447" w:rsidRDefault="00F80447" w:rsidP="00F80447">
      <w:pPr>
        <w:pStyle w:val="af0"/>
        <w:widowControl/>
        <w:numPr>
          <w:ilvl w:val="0"/>
          <w:numId w:val="14"/>
        </w:numPr>
        <w:tabs>
          <w:tab w:val="left" w:pos="567"/>
          <w:tab w:val="left" w:pos="851"/>
        </w:tabs>
        <w:autoSpaceDE/>
        <w:ind w:left="0" w:right="140" w:firstLine="284"/>
        <w:contextualSpacing/>
        <w:rPr>
          <w:sz w:val="24"/>
          <w:szCs w:val="24"/>
        </w:rPr>
      </w:pPr>
      <w:r>
        <w:rPr>
          <w:sz w:val="24"/>
          <w:szCs w:val="24"/>
        </w:rPr>
        <w:t>СП 19.13330.2011 «Генеральные планы сельскохозяйственных предприятий».  Актуализированная редакция СНиП II-97-76*;</w:t>
      </w:r>
    </w:p>
    <w:p w14:paraId="1ED87212" w14:textId="77777777" w:rsidR="00F80447" w:rsidRDefault="00F80447" w:rsidP="00F80447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14:paraId="709CE943" w14:textId="77777777" w:rsidR="00F80447" w:rsidRDefault="00F80447" w:rsidP="00F80447">
      <w:pPr>
        <w:numPr>
          <w:ilvl w:val="0"/>
          <w:numId w:val="15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right="140" w:firstLine="284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СанПиН 2.2.1/2.1.1.1200-03 «Санитарно-защитные зоны и санитарная классификация предприятий, сооружений и иных объектов» (в редакции от 25.04.2014);</w:t>
      </w:r>
    </w:p>
    <w:p w14:paraId="4EADAF8B" w14:textId="77777777" w:rsidR="00F80447" w:rsidRDefault="00F80447" w:rsidP="00F80447">
      <w:pPr>
        <w:numPr>
          <w:ilvl w:val="0"/>
          <w:numId w:val="15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right="140" w:firstLine="284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СП 113.13330.2012 «Стоянки автомобилей». Актуализированная редакция СНиП 21-02-99*;</w:t>
      </w:r>
    </w:p>
    <w:p w14:paraId="7834393D" w14:textId="77777777" w:rsidR="00F80447" w:rsidRDefault="00F80447" w:rsidP="00F80447">
      <w:pPr>
        <w:pStyle w:val="af0"/>
        <w:widowControl/>
        <w:numPr>
          <w:ilvl w:val="0"/>
          <w:numId w:val="15"/>
        </w:numPr>
        <w:tabs>
          <w:tab w:val="left" w:pos="567"/>
          <w:tab w:val="left" w:pos="851"/>
        </w:tabs>
        <w:autoSpaceDE/>
        <w:ind w:left="0" w:right="140" w:firstLine="284"/>
        <w:contextualSpacing/>
        <w:rPr>
          <w:b/>
          <w:sz w:val="24"/>
          <w:szCs w:val="24"/>
          <w:u w:val="single"/>
        </w:rPr>
      </w:pPr>
      <w:r>
        <w:rPr>
          <w:sz w:val="24"/>
          <w:szCs w:val="24"/>
        </w:rPr>
        <w:t>другими действующими нормативами и техническими регламентами.</w:t>
      </w:r>
    </w:p>
    <w:p w14:paraId="0684DFE3" w14:textId="77777777" w:rsidR="00F80447" w:rsidRDefault="00F80447" w:rsidP="00F80447">
      <w:pPr>
        <w:pStyle w:val="af0"/>
        <w:widowControl/>
        <w:autoSpaceDE/>
        <w:ind w:left="284" w:right="140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Минимальные отступы зданий, строений, сооружений от границ земельных участков </w:t>
      </w:r>
      <w:r w:rsidRPr="00F80447">
        <w:rPr>
          <w:rStyle w:val="af1"/>
          <w:i w:val="0"/>
          <w:color w:val="auto"/>
          <w:sz w:val="24"/>
          <w:szCs w:val="24"/>
        </w:rPr>
        <w:t>в территориальных зонах</w:t>
      </w:r>
      <w:r>
        <w:rPr>
          <w:rStyle w:val="af1"/>
          <w:sz w:val="24"/>
          <w:szCs w:val="24"/>
        </w:rPr>
        <w:t xml:space="preserve"> </w:t>
      </w:r>
      <w:r>
        <w:rPr>
          <w:b/>
          <w:sz w:val="24"/>
          <w:szCs w:val="24"/>
        </w:rPr>
        <w:t>П3, П4, П5, К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5670"/>
        <w:gridCol w:w="2952"/>
      </w:tblGrid>
      <w:tr w:rsidR="00F80447" w14:paraId="3FA00035" w14:textId="77777777" w:rsidTr="00F80447">
        <w:trPr>
          <w:trHeight w:val="85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8DAB5B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F39C1E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937D7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расстояние, м</w:t>
            </w:r>
          </w:p>
        </w:tc>
      </w:tr>
      <w:tr w:rsidR="00F80447" w14:paraId="66E3A4FD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34C791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90F79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 границы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до здания, строения, сооружения, за исключением: 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49EE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  <w:p w14:paraId="57A81969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447" w14:paraId="253AFCEA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3D6191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4C17B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совпадении границы участка с красной линией улиц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F624C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0447" w14:paraId="175E6D4A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0567DC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6E4E5E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проездов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1581E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0447" w14:paraId="3250CB96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936310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4C129C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жилых зданий, гостиниц, общежитий, садово-дачной застройки, детских дошкольных учреждений, общеобразовательных школ, учреждений здравоохранения и отдыха, спортивных сооружений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2D48C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пределом санитарно-защитной зоны</w:t>
            </w:r>
          </w:p>
        </w:tc>
      </w:tr>
      <w:tr w:rsidR="00F80447" w14:paraId="6B720442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9F1354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B5758D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Противопожарные расстояния между производственными зданиями промышленных предприятий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B7B9D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Следует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приложению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РНГП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 18.13330.2011)</w:t>
            </w:r>
          </w:p>
        </w:tc>
      </w:tr>
      <w:tr w:rsidR="00F80447" w14:paraId="13BA6846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1A4A18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9946C5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Противопожарные расстояния между производственными зданиями сельскохозяйственных предприятий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CDB6B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соответствии с действующими противопожарными нормами</w:t>
            </w:r>
          </w:p>
        </w:tc>
      </w:tr>
      <w:tr w:rsidR="00F80447" w14:paraId="1DE43DAA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3EF515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4D148D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Минимальные расстояния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 административных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бытовых зданий промышленных предприятий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 до производственных зданий и гаражей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A2AAF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12 </w:t>
            </w:r>
          </w:p>
        </w:tc>
      </w:tr>
      <w:tr w:rsidR="00F80447" w14:paraId="41A1FCB3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1E5E2D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0FD6C4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Минимальные расстояния от административных и бытовых зданий промышленных предприятий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 до производственных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зданий,  имеющих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покрытие с применением утеплителя из полимерных или горючих материалов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EDEB1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</w:tr>
      <w:tr w:rsidR="00F80447" w14:paraId="596CAD8A" w14:textId="77777777" w:rsidTr="00F80447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68350B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7D4EA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Расстояние от края проезда до стены здания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00D4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5-8**</w:t>
            </w:r>
          </w:p>
        </w:tc>
      </w:tr>
      <w:tr w:rsidR="00F80447" w14:paraId="39F100D1" w14:textId="77777777" w:rsidTr="00F80447">
        <w:trPr>
          <w:trHeight w:val="840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A6FE2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Примечание:</w:t>
            </w:r>
          </w:p>
          <w:p w14:paraId="77B30864" w14:textId="77777777" w:rsidR="00F80447" w:rsidRDefault="00F80447">
            <w:pPr>
              <w:snapToGrid w:val="0"/>
              <w:spacing w:after="0" w:line="240" w:lineRule="auto"/>
              <w:ind w:left="34" w:right="14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с соблюдением отступов от подземных инженерных сетей до фундамента зданий, сооружений согласно таблице 15 СП 42.13330.2011 «Градостроительство. Планировка и застройка городских и сельских поселений», но не менее 1 м;</w:t>
            </w:r>
          </w:p>
          <w:p w14:paraId="2A55D59F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**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этой зоне не допускается размещать ограждения, воздушные линии электропередачи и осуществлять рядовую посадку деревьев.</w:t>
            </w:r>
          </w:p>
        </w:tc>
      </w:tr>
    </w:tbl>
    <w:p w14:paraId="6DB91369" w14:textId="77777777" w:rsidR="00F80447" w:rsidRDefault="00F80447" w:rsidP="00F80447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02A99E7" w14:textId="77777777" w:rsidR="00F80447" w:rsidRDefault="00F80447" w:rsidP="00F80447">
      <w:pPr>
        <w:pStyle w:val="af0"/>
        <w:ind w:left="0" w:right="140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Максимальная высота зданий, строений, сооружений</w:t>
      </w:r>
      <w:r>
        <w:rPr>
          <w:rStyle w:val="af1"/>
          <w:sz w:val="24"/>
          <w:szCs w:val="24"/>
        </w:rPr>
        <w:t xml:space="preserve"> </w:t>
      </w:r>
      <w:r w:rsidRPr="00E90C13">
        <w:rPr>
          <w:rStyle w:val="af1"/>
          <w:i w:val="0"/>
          <w:color w:val="auto"/>
          <w:sz w:val="24"/>
          <w:szCs w:val="24"/>
        </w:rPr>
        <w:t>в территориальных зонах</w:t>
      </w:r>
      <w:r w:rsidRPr="00E90C13">
        <w:rPr>
          <w:rStyle w:val="af1"/>
          <w:color w:val="auto"/>
          <w:sz w:val="24"/>
          <w:szCs w:val="24"/>
        </w:rPr>
        <w:t xml:space="preserve">       </w:t>
      </w:r>
      <w:r>
        <w:rPr>
          <w:b/>
          <w:sz w:val="24"/>
          <w:szCs w:val="24"/>
        </w:rPr>
        <w:t>П3, П4, П5, К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3546"/>
      </w:tblGrid>
      <w:tr w:rsidR="00F80447" w14:paraId="78E532F4" w14:textId="77777777" w:rsidTr="00F80447">
        <w:trPr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2F60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447A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C48C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зданий, строений, сооружений, м</w:t>
            </w:r>
          </w:p>
        </w:tc>
      </w:tr>
      <w:tr w:rsidR="00F80447" w14:paraId="3D9DA40B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C3D6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B2B2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3B37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5B75F80D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0586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C31E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1CC9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0265D3A7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EAEE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8EFF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7AA4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315F3FFB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5AA1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855F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3E71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4F5A0868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4C3D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81A7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8DB3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0447" w14:paraId="7E99201E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6BB3" w14:textId="77777777" w:rsidR="00F80447" w:rsidRDefault="00F80447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9DC6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связи, коммунального обслуживания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9669" w14:textId="77777777" w:rsidR="00F80447" w:rsidRDefault="00F80447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должна приниматься в зависимости от габаритов оборудования</w:t>
            </w:r>
          </w:p>
        </w:tc>
      </w:tr>
    </w:tbl>
    <w:p w14:paraId="53722758" w14:textId="77777777" w:rsidR="00F80447" w:rsidRDefault="00F80447" w:rsidP="00F80447">
      <w:pPr>
        <w:pStyle w:val="af0"/>
        <w:ind w:left="0" w:right="140"/>
        <w:rPr>
          <w:b/>
          <w:i/>
          <w:sz w:val="24"/>
          <w:szCs w:val="24"/>
        </w:rPr>
      </w:pPr>
    </w:p>
    <w:p w14:paraId="5D5C2BF7" w14:textId="77777777" w:rsidR="00F80447" w:rsidRDefault="00F80447" w:rsidP="00F80447">
      <w:pPr>
        <w:pStyle w:val="af0"/>
        <w:ind w:left="0" w:right="1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Максимальная высота ограждений земельных участков </w:t>
      </w:r>
      <w:r w:rsidRPr="004F7EE9">
        <w:rPr>
          <w:rStyle w:val="af1"/>
          <w:i w:val="0"/>
          <w:color w:val="auto"/>
          <w:sz w:val="24"/>
          <w:szCs w:val="24"/>
        </w:rPr>
        <w:t>в территориальных зонах</w:t>
      </w:r>
      <w:r w:rsidRPr="004F7EE9">
        <w:rPr>
          <w:rStyle w:val="af1"/>
          <w:color w:val="auto"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>П3, П4, П5, К</w:t>
      </w:r>
    </w:p>
    <w:p w14:paraId="340F8A22" w14:textId="77777777" w:rsidR="00F80447" w:rsidRDefault="00F80447" w:rsidP="00F80447">
      <w:pPr>
        <w:pStyle w:val="af0"/>
        <w:ind w:left="0" w:right="140"/>
        <w:rPr>
          <w:sz w:val="24"/>
          <w:szCs w:val="24"/>
        </w:rPr>
      </w:pPr>
      <w:r>
        <w:rPr>
          <w:sz w:val="24"/>
          <w:szCs w:val="24"/>
        </w:rPr>
        <w:t>Ограждение земельного участка объектов следует предусматривать в соответствии с нормами МВД по охране предприятий при классификации объектов или иными условиями охраны, отраженными в задании на проектирование.</w:t>
      </w:r>
    </w:p>
    <w:p w14:paraId="5333074D" w14:textId="77777777" w:rsidR="00F80447" w:rsidRDefault="00F80447" w:rsidP="00F80447">
      <w:pPr>
        <w:pStyle w:val="af0"/>
        <w:ind w:left="0" w:right="140"/>
        <w:rPr>
          <w:sz w:val="24"/>
          <w:szCs w:val="24"/>
        </w:rPr>
      </w:pPr>
      <w:r>
        <w:rPr>
          <w:sz w:val="24"/>
          <w:szCs w:val="24"/>
        </w:rPr>
        <w:t>Проектирование ограждений площадок и участков предприятий, зданий и сооружений должно производиться в соответствии со СН 441-72*.</w:t>
      </w:r>
    </w:p>
    <w:p w14:paraId="67AC03B7" w14:textId="77777777" w:rsidR="00F80447" w:rsidRDefault="00F80447" w:rsidP="00F80447">
      <w:pPr>
        <w:pStyle w:val="af0"/>
        <w:ind w:left="0" w:right="140"/>
        <w:rPr>
          <w:b/>
          <w:sz w:val="24"/>
          <w:szCs w:val="24"/>
        </w:rPr>
      </w:pPr>
    </w:p>
    <w:p w14:paraId="4D176F27" w14:textId="77777777" w:rsidR="00F80447" w:rsidRPr="005B7EEA" w:rsidRDefault="00F80447" w:rsidP="00F80447">
      <w:pPr>
        <w:spacing w:after="0" w:line="240" w:lineRule="auto"/>
        <w:ind w:right="140" w:firstLine="284"/>
        <w:jc w:val="both"/>
        <w:rPr>
          <w:rStyle w:val="af1"/>
          <w:bCs w:val="0"/>
          <w:i w:val="0"/>
          <w:iCs w:val="0"/>
          <w:color w:val="auto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5B7EEA">
        <w:rPr>
          <w:rStyle w:val="af1"/>
          <w:rFonts w:ascii="Times New Roman" w:hAnsi="Times New Roman" w:cs="Times New Roman"/>
          <w:i w:val="0"/>
          <w:color w:val="auto"/>
          <w:sz w:val="24"/>
          <w:szCs w:val="24"/>
        </w:rPr>
        <w:t>Предельный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в территориальных зонах П3, П4, П5, К</w:t>
      </w:r>
    </w:p>
    <w:p w14:paraId="171005AF" w14:textId="77777777" w:rsidR="00F80447" w:rsidRDefault="00F80447" w:rsidP="00F80447">
      <w:pPr>
        <w:tabs>
          <w:tab w:val="left" w:pos="567"/>
          <w:tab w:val="left" w:pos="851"/>
        </w:tabs>
        <w:spacing w:after="0" w:line="240" w:lineRule="auto"/>
        <w:ind w:right="140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Минимальный процент застройки формируется исходя из назначения промышленного предприятия в соответствии с СП 18.13330.2011 «Генеральные планы промышленных предприятий» и СП 19.13330.2011 «Генеральные планы сельскохозяйственных предприятий».</w:t>
      </w:r>
    </w:p>
    <w:p w14:paraId="5CB6CE3C" w14:textId="77777777" w:rsidR="00F80447" w:rsidRDefault="00F80447" w:rsidP="00F80447">
      <w:pPr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зоны, максимальный процент застройки – 80%.</w:t>
      </w:r>
    </w:p>
    <w:p w14:paraId="6C12AE75" w14:textId="77777777" w:rsidR="00F80447" w:rsidRDefault="00F80447" w:rsidP="00F80447">
      <w:pPr>
        <w:keepNext/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Иные показатели разрешенного строительства, реконструкции объектов капитального строительства, расположенных в территориальных зонах П3-П5</w:t>
      </w:r>
    </w:p>
    <w:p w14:paraId="23BBB677" w14:textId="77777777" w:rsidR="00F80447" w:rsidRDefault="00F80447" w:rsidP="00F80447">
      <w:pPr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Площадь участков, предназначенных для озеленения, не должна, как правило, превышать 15% территории объекта.</w:t>
      </w:r>
    </w:p>
    <w:p w14:paraId="7353C5B9" w14:textId="77777777" w:rsidR="00F80447" w:rsidRDefault="00F80447" w:rsidP="00F80447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</w:t>
      </w:r>
      <w:r>
        <w:rPr>
          <w:rFonts w:ascii="Times New Roman" w:hAnsi="Times New Roman" w:cs="Times New Roman"/>
          <w:spacing w:val="2"/>
          <w:sz w:val="24"/>
          <w:szCs w:val="24"/>
        </w:rPr>
        <w:t>СП 18.13330.2011 «Генеральные планы промышленных предприятий. Актуализированная редакция СНиП II-89-80*».</w:t>
      </w:r>
    </w:p>
    <w:p w14:paraId="6FD549E2" w14:textId="77777777" w:rsidR="00F80447" w:rsidRDefault="00F80447" w:rsidP="00F804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14:paraId="648050B8" w14:textId="77777777" w:rsidR="00F80447" w:rsidRDefault="00F80447" w:rsidP="00F80447">
      <w:pPr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Санитарно-защитная зона (СЗЗ) отделяет территорию промышленной площадки от жилой застройки, ландшафтно-рекреационной зоны, зоны отдыха. </w:t>
      </w:r>
    </w:p>
    <w:p w14:paraId="29A59928" w14:textId="77777777" w:rsidR="00F80447" w:rsidRDefault="00F80447" w:rsidP="00F80447">
      <w:pPr>
        <w:tabs>
          <w:tab w:val="left" w:pos="567"/>
        </w:tabs>
        <w:spacing w:after="0" w:line="240" w:lineRule="auto"/>
        <w:ind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содержания санитарно-защитных зон определен СанПиН 2.2.1/2.1.1.1200-03 «Санитарно-защитные зоны и санитарная классификация предприятий, сооружений и иных объектов» (в редакции от 25.04.2014)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F1661A" w14:textId="77777777" w:rsidR="00F80447" w:rsidRDefault="00F80447" w:rsidP="00F80447">
      <w:pPr>
        <w:spacing w:after="0" w:line="240" w:lineRule="auto"/>
        <w:ind w:right="14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размещении производственных объектов необходимо предусматривать меры по исключению загрязнения почв, поверхностных и подземных вод, атмосферного воздуха с учетом требований раздела «Охрана окружающей среды» </w:t>
      </w:r>
      <w:r>
        <w:rPr>
          <w:rFonts w:ascii="Times New Roman" w:hAnsi="Times New Roman" w:cs="Times New Roman"/>
          <w:noProof/>
          <w:sz w:val="24"/>
          <w:szCs w:val="24"/>
        </w:rPr>
        <w:t>региональных нормативов градостроительного проектирования Республики Коми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E6D3BA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Вынос границ земельного участка на местности арендатор осуществляет самостоятельно и за свой счет. </w:t>
      </w:r>
    </w:p>
    <w:p w14:paraId="4D557012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Обустройство заезда на земельный участок арендатор осуществляет самостоятельно и за свой счет. </w:t>
      </w:r>
    </w:p>
    <w:p w14:paraId="61B932C9" w14:textId="77777777" w:rsidR="00F80447" w:rsidRDefault="00F80447" w:rsidP="00F80447">
      <w:pPr>
        <w:tabs>
          <w:tab w:val="left" w:pos="390"/>
          <w:tab w:val="left" w:pos="1090"/>
        </w:tabs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Срок аренды земельного участка – 30 (тридцать) месяцев. </w:t>
      </w:r>
    </w:p>
    <w:p w14:paraId="18DE3777" w14:textId="77777777" w:rsidR="00F80447" w:rsidRDefault="00F80447" w:rsidP="00F80447">
      <w:pPr>
        <w:tabs>
          <w:tab w:val="left" w:pos="390"/>
          <w:tab w:val="left" w:pos="1090"/>
        </w:tabs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ab/>
      </w:r>
    </w:p>
    <w:p w14:paraId="2002A00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2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1FC2178B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Корткерос, с. Корткерос.</w:t>
      </w:r>
    </w:p>
    <w:p w14:paraId="740DF1A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3668 кв. м.</w:t>
      </w:r>
    </w:p>
    <w:p w14:paraId="55FCA2C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11:06:3901006:326.</w:t>
      </w:r>
    </w:p>
    <w:p w14:paraId="57FDAA19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Право на земельный участок: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государственная собственность не разграничена. </w:t>
      </w:r>
    </w:p>
    <w:p w14:paraId="397359F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хранение автотранспорта. </w:t>
      </w:r>
    </w:p>
    <w:p w14:paraId="194E8317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7407CB97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доступ к земельному участку обеспечивается посредством земельного участка с кадастровым номером 11:06:3901006:155.</w:t>
      </w:r>
    </w:p>
    <w:p w14:paraId="6A1A4F92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 </w:t>
      </w:r>
    </w:p>
    <w:p w14:paraId="0E6B8DA7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 территории с. Корткерос имеются следующие централизованные системы:</w:t>
      </w:r>
    </w:p>
    <w:p w14:paraId="4F25EB93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2970"/>
      </w:tblGrid>
      <w:tr w:rsidR="00F80447" w14:paraId="54CEBAA3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512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FEF8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3ED8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F80447" w14:paraId="20463D31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D4B6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0741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5134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0447" w14:paraId="4F3F4796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39A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5028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CBBF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0447" w14:paraId="259D02B2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203B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5000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 Гкал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DE4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37D2E86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E8593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5F072966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Возможность подключения (технологического присоединения) объектов капитального строительства к сетям инженерно-технологического обеспечения имеется. </w:t>
      </w:r>
    </w:p>
    <w:p w14:paraId="30CC1575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89352,00 рубля (Восемьдесят девять тысяч триста пятьдесят два рубля 00 копеек) без учета НДС.</w:t>
      </w:r>
    </w:p>
    <w:p w14:paraId="205FF675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2680,00 рублей (Две тысячи шестьсот восемьдесят рублей 00 копеек) без учета НДС.  </w:t>
      </w:r>
    </w:p>
    <w:p w14:paraId="1C7EAEE3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17870,00 рублей (Семнадцать тысяч восемьсот семьдесят рублей 00 копеек) без учета НДС.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14:paraId="4307FFC6" w14:textId="77777777" w:rsidR="00F80447" w:rsidRDefault="00F80447" w:rsidP="00F8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Максимально и (или) минимально допустимые параметры разрешенного строительства объекта капитального строительства:</w:t>
      </w:r>
    </w:p>
    <w:p w14:paraId="24EC2972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Земельный участок расположен в территориальной зоне П-4 (зона производственных и коммунальных объектов не выше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класса санитарной вредности).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«Корткерос». </w:t>
      </w:r>
    </w:p>
    <w:p w14:paraId="12FEBE14" w14:textId="77777777" w:rsidR="00F80447" w:rsidRDefault="00F80447" w:rsidP="00F80447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1CEB991" w14:textId="77777777" w:rsidR="00F80447" w:rsidRDefault="00F80447" w:rsidP="00F80447">
      <w:pPr>
        <w:tabs>
          <w:tab w:val="num" w:pos="0"/>
        </w:tabs>
        <w:spacing w:after="120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Минимальные отступы зданий, строений, сооружений от границ земельных участков </w:t>
      </w:r>
      <w:r w:rsidRPr="00DB23AA">
        <w:rPr>
          <w:rStyle w:val="af1"/>
          <w:rFonts w:ascii="Times New Roman" w:hAnsi="Times New Roman" w:cs="Times New Roman"/>
          <w:i w:val="0"/>
          <w:color w:val="auto"/>
          <w:sz w:val="24"/>
          <w:szCs w:val="24"/>
        </w:rPr>
        <w:t>в территориальных зонах П-1,</w:t>
      </w:r>
      <w:r w:rsidRPr="00DB23AA">
        <w:rPr>
          <w:rStyle w:val="af1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П-3, П-4, П-5, К</w:t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568"/>
        <w:gridCol w:w="5672"/>
        <w:gridCol w:w="3120"/>
      </w:tblGrid>
      <w:tr w:rsidR="00F80447" w14:paraId="2616EBE1" w14:textId="77777777" w:rsidTr="00F80447">
        <w:trPr>
          <w:trHeight w:val="85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B1C147" w14:textId="77777777" w:rsidR="00F80447" w:rsidRDefault="00F80447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506CD9" w14:textId="77777777" w:rsidR="00F80447" w:rsidRDefault="00F80447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CB98B" w14:textId="77777777" w:rsidR="00F80447" w:rsidRDefault="00F80447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расстояние, м</w:t>
            </w:r>
          </w:p>
        </w:tc>
      </w:tr>
      <w:tr w:rsidR="00F80447" w14:paraId="077D5EF6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63DD2B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28B0F0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 границы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до здания, строения, сооружения, за исключением: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9365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  <w:p w14:paraId="07DB69FA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447" w14:paraId="415F339B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B0AD40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F35EB1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совпадении границы участка с красной линией улиц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4A29C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0447" w14:paraId="1F704501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BA1BD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88C718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совпадении границы участка с красной линией проездов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D23D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0447" w14:paraId="6ED56FEF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13FED9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24893F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жилых зданий, гостиниц, общежитий, садово-дачной застройки, детских дошкольных учреждений, общеобразовательных школ, учреждений здравоохранения и отдыха, спортивных сооружений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21B7C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пределом санитарно-защитной зоны</w:t>
            </w:r>
          </w:p>
        </w:tc>
      </w:tr>
      <w:tr w:rsidR="00F80447" w14:paraId="1B76DE9B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3428D3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0EEA04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Противопожарные расстояния между производственными зданиями промышленных предприятий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5A3E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Следует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приложению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РНГП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 соответствии с СП 18.13330.2011)</w:t>
            </w:r>
          </w:p>
        </w:tc>
      </w:tr>
      <w:tr w:rsidR="00F80447" w14:paraId="67D54636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46B13B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A04DE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Противопожарные расстояния между производственными зданиями сельскохозяйственных предприятий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989B9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соответствии с действующими противопожарными нормами</w:t>
            </w:r>
          </w:p>
        </w:tc>
      </w:tr>
      <w:tr w:rsidR="00F80447" w14:paraId="39E8AA8C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F374CF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51851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Минимальные расстояния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 административных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бытовых зданий промышленных предприятий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 до производственных зданий и гаражей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2C3A7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12 </w:t>
            </w:r>
          </w:p>
        </w:tc>
      </w:tr>
      <w:tr w:rsidR="00F80447" w14:paraId="6FB5E2FE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E37E46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700CDD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Минимальные расстояния от административных и бытовых зданий промышленных предприятий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noProof/>
                <w:snapToGrid w:val="0"/>
                <w:sz w:val="24"/>
                <w:szCs w:val="24"/>
              </w:rPr>
              <w:t xml:space="preserve"> II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степеней огнестойкости до производственных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зданий,  имеющих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покрытие с применением утеплителя из полимерных или горючих материалов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A2E0F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</w:tr>
      <w:tr w:rsidR="00F80447" w14:paraId="35ECFC0D" w14:textId="77777777" w:rsidTr="00F80447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D2198B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2AB94C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Расстояние от края проезда до стены здания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35D3E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5-8**</w:t>
            </w:r>
          </w:p>
        </w:tc>
      </w:tr>
      <w:tr w:rsidR="00F80447" w14:paraId="1F8766F3" w14:textId="77777777" w:rsidTr="00F80447">
        <w:trPr>
          <w:trHeight w:val="8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E411C" w14:textId="77777777" w:rsidR="00F80447" w:rsidRDefault="00F80447">
            <w:pPr>
              <w:snapToGrid w:val="0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Примечание:</w:t>
            </w:r>
          </w:p>
          <w:p w14:paraId="6F64A676" w14:textId="77777777" w:rsidR="00F80447" w:rsidRDefault="00F80447">
            <w:pPr>
              <w:snapToGrid w:val="0"/>
              <w:spacing w:line="240" w:lineRule="auto"/>
              <w:ind w:left="3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с соблюдением отступов от подземных инженерных сетей до фундамента зданий, сооружений согласно таблице 15 СП 42.13330.2011 «Градостроительство. Планировка и застройка городских и сельских поселений», но не менее 1 м;</w:t>
            </w:r>
          </w:p>
          <w:p w14:paraId="0352EE2A" w14:textId="77777777" w:rsidR="00F80447" w:rsidRDefault="00F8044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**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этой зоне не допускается размещать ограждения, воздушные линии электропередачи и осуществлять рядовую посадку деревьев.</w:t>
            </w:r>
          </w:p>
        </w:tc>
      </w:tr>
    </w:tbl>
    <w:p w14:paraId="288539C5" w14:textId="77777777" w:rsidR="00F80447" w:rsidRDefault="00F80447" w:rsidP="00F80447">
      <w:pPr>
        <w:tabs>
          <w:tab w:val="left" w:pos="4170"/>
        </w:tabs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14:paraId="1A05FB9B" w14:textId="77777777" w:rsidR="00F80447" w:rsidRDefault="00F80447" w:rsidP="00F80447">
      <w:pPr>
        <w:pStyle w:val="af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Максимальная высота зданий, строений, сооружений</w:t>
      </w:r>
    </w:p>
    <w:p w14:paraId="72923642" w14:textId="77777777" w:rsidR="00F80447" w:rsidRDefault="00F80447" w:rsidP="00F80447">
      <w:pPr>
        <w:pStyle w:val="af0"/>
        <w:ind w:left="0"/>
        <w:jc w:val="center"/>
        <w:rPr>
          <w:b/>
          <w:bCs/>
          <w:sz w:val="24"/>
          <w:szCs w:val="24"/>
        </w:rPr>
      </w:pPr>
      <w:r w:rsidRPr="00C90B58">
        <w:rPr>
          <w:rStyle w:val="af1"/>
          <w:i w:val="0"/>
          <w:color w:val="auto"/>
          <w:sz w:val="24"/>
          <w:szCs w:val="24"/>
        </w:rPr>
        <w:t xml:space="preserve">в территориальных </w:t>
      </w:r>
      <w:proofErr w:type="gramStart"/>
      <w:r w:rsidRPr="00C90B58">
        <w:rPr>
          <w:rStyle w:val="af1"/>
          <w:i w:val="0"/>
          <w:color w:val="auto"/>
          <w:sz w:val="24"/>
          <w:szCs w:val="24"/>
        </w:rPr>
        <w:t>зонах  П</w:t>
      </w:r>
      <w:proofErr w:type="gramEnd"/>
      <w:r w:rsidRPr="00C90B58">
        <w:rPr>
          <w:rStyle w:val="af1"/>
          <w:i w:val="0"/>
          <w:color w:val="auto"/>
          <w:sz w:val="24"/>
          <w:szCs w:val="24"/>
        </w:rPr>
        <w:t xml:space="preserve">-1, </w:t>
      </w:r>
      <w:r>
        <w:rPr>
          <w:b/>
          <w:bCs/>
          <w:sz w:val="24"/>
          <w:szCs w:val="24"/>
        </w:rPr>
        <w:t>П-3, П-4, П-5, К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247"/>
        <w:gridCol w:w="3546"/>
      </w:tblGrid>
      <w:tr w:rsidR="00F80447" w14:paraId="73006AE7" w14:textId="77777777" w:rsidTr="00F80447">
        <w:trPr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0B8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2EAB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1848" w14:textId="77777777" w:rsidR="00F80447" w:rsidRDefault="00F8044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зданий, строений, сооружений, м</w:t>
            </w:r>
          </w:p>
        </w:tc>
      </w:tr>
      <w:tr w:rsidR="00F80447" w14:paraId="2553B713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1D92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5B68" w14:textId="77777777" w:rsidR="00F80447" w:rsidRDefault="00F80447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77E1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1F3C6CA0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208F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BA74" w14:textId="77777777" w:rsidR="00F80447" w:rsidRDefault="00F804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F04C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57AF6D44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07DF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65F" w14:textId="77777777" w:rsidR="00F80447" w:rsidRDefault="00F80447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C4C5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0E2E47CA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B047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8730" w14:textId="77777777" w:rsidR="00F80447" w:rsidRDefault="00F804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E56D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0447" w14:paraId="1E4951BD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C4E9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DEC9" w14:textId="77777777" w:rsidR="00F80447" w:rsidRDefault="00F804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Склады, гаражи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8B14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0447" w14:paraId="42209760" w14:textId="77777777" w:rsidTr="00F8044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8078" w14:textId="77777777" w:rsidR="00F80447" w:rsidRDefault="00F80447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805D" w14:textId="77777777" w:rsidR="00F80447" w:rsidRDefault="00F804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Коммунальная зона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6AE5" w14:textId="77777777" w:rsidR="00F80447" w:rsidRDefault="00F804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подлежит ограничению</w:t>
            </w:r>
          </w:p>
        </w:tc>
      </w:tr>
    </w:tbl>
    <w:p w14:paraId="775C22F3" w14:textId="77777777" w:rsidR="00F80447" w:rsidRDefault="00F80447" w:rsidP="00F80447">
      <w:pPr>
        <w:pStyle w:val="af0"/>
        <w:spacing w:after="120"/>
        <w:ind w:left="0"/>
        <w:rPr>
          <w:b/>
          <w:bCs/>
          <w:i/>
          <w:iCs/>
          <w:sz w:val="24"/>
          <w:szCs w:val="24"/>
        </w:rPr>
      </w:pPr>
    </w:p>
    <w:p w14:paraId="24B5C5C1" w14:textId="77777777" w:rsidR="00F80447" w:rsidRDefault="00F80447" w:rsidP="00F80447">
      <w:pPr>
        <w:pStyle w:val="af0"/>
        <w:spacing w:after="12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Максимальная высота ограждений земельных участков </w:t>
      </w:r>
      <w:r w:rsidRPr="00DC0636">
        <w:rPr>
          <w:rStyle w:val="af1"/>
          <w:i w:val="0"/>
          <w:color w:val="auto"/>
          <w:sz w:val="24"/>
          <w:szCs w:val="24"/>
        </w:rPr>
        <w:t>в территориальных зонах   П-</w:t>
      </w:r>
      <w:proofErr w:type="gramStart"/>
      <w:r w:rsidRPr="00DC0636">
        <w:rPr>
          <w:rStyle w:val="af1"/>
          <w:i w:val="0"/>
          <w:color w:val="auto"/>
          <w:sz w:val="24"/>
          <w:szCs w:val="24"/>
        </w:rPr>
        <w:t xml:space="preserve">1,  </w:t>
      </w:r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>-3, П-4, П-5, К</w:t>
      </w:r>
    </w:p>
    <w:p w14:paraId="6C705228" w14:textId="77777777" w:rsidR="00F80447" w:rsidRDefault="00F80447" w:rsidP="00F80447">
      <w:pPr>
        <w:pStyle w:val="af0"/>
        <w:spacing w:after="120"/>
        <w:ind w:left="0"/>
        <w:rPr>
          <w:sz w:val="24"/>
          <w:szCs w:val="24"/>
        </w:rPr>
      </w:pPr>
      <w:r>
        <w:rPr>
          <w:sz w:val="24"/>
          <w:szCs w:val="24"/>
        </w:rPr>
        <w:t>Ограждение земельного участка объектов следует предусматривать в соответствии с нормами МВД по охране предприятий при классификации объектов или иными условиями охраны, отраженными в задании на проектирование.</w:t>
      </w:r>
    </w:p>
    <w:p w14:paraId="2C0CA897" w14:textId="77777777" w:rsidR="00F80447" w:rsidRDefault="00F80447" w:rsidP="00F80447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Проектирование ограждений площадок и участков предприятий, зданий и сооружений должно производиться в соответствии со СН 441-72*.</w:t>
      </w:r>
    </w:p>
    <w:p w14:paraId="7CAC7D99" w14:textId="77777777" w:rsidR="00F80447" w:rsidRDefault="00F80447" w:rsidP="00F80447">
      <w:pPr>
        <w:pStyle w:val="af0"/>
        <w:ind w:left="0"/>
        <w:rPr>
          <w:b/>
          <w:bCs/>
          <w:sz w:val="24"/>
          <w:szCs w:val="24"/>
        </w:rPr>
      </w:pPr>
    </w:p>
    <w:p w14:paraId="005B4122" w14:textId="77777777" w:rsidR="00F80447" w:rsidRPr="00AB5B66" w:rsidRDefault="00F80447" w:rsidP="00F80447">
      <w:pPr>
        <w:spacing w:after="120" w:line="240" w:lineRule="auto"/>
        <w:ind w:firstLine="284"/>
        <w:jc w:val="center"/>
        <w:rPr>
          <w:rStyle w:val="af1"/>
          <w:rFonts w:ascii="Times New Roman" w:hAnsi="Times New Roman" w:cs="Times New Roman"/>
          <w:i w:val="0"/>
          <w:iCs w:val="0"/>
          <w:color w:val="auto"/>
        </w:rPr>
      </w:pPr>
      <w:r w:rsidRPr="00AB5B66">
        <w:rPr>
          <w:rStyle w:val="af1"/>
          <w:rFonts w:ascii="Times New Roman" w:hAnsi="Times New Roman" w:cs="Times New Roman"/>
          <w:i w:val="0"/>
          <w:color w:val="auto"/>
          <w:sz w:val="24"/>
          <w:szCs w:val="24"/>
        </w:rPr>
        <w:t>Предельный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в территориальных зонах П-1, П-3, П-4, П-5, К</w:t>
      </w:r>
    </w:p>
    <w:p w14:paraId="47DE7437" w14:textId="77777777" w:rsidR="00F80447" w:rsidRDefault="00F80447" w:rsidP="00F80447">
      <w:pPr>
        <w:tabs>
          <w:tab w:val="left" w:pos="567"/>
          <w:tab w:val="left" w:pos="851"/>
        </w:tabs>
        <w:spacing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 Минимальный процент застройки формируется исходя из назначения промышленного предприятия в соответствии с СП 18.13330.2011 «Генеральные планы промышленных предприятий» и СП 19.13330.2011 «Генеральные планы сельскохозяйственных предприятий».</w:t>
      </w:r>
    </w:p>
    <w:p w14:paraId="3C1D4B08" w14:textId="77777777" w:rsidR="00F80447" w:rsidRDefault="00F80447" w:rsidP="00F80447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зоны, </w:t>
      </w:r>
      <w:r>
        <w:rPr>
          <w:rFonts w:ascii="Times New Roman" w:hAnsi="Times New Roman" w:cs="Times New Roman"/>
          <w:sz w:val="24"/>
          <w:szCs w:val="24"/>
          <w:u w:val="single"/>
        </w:rPr>
        <w:t>максимальный процент застройки</w:t>
      </w:r>
      <w:r>
        <w:rPr>
          <w:rFonts w:ascii="Times New Roman" w:hAnsi="Times New Roman" w:cs="Times New Roman"/>
          <w:sz w:val="24"/>
          <w:szCs w:val="24"/>
        </w:rPr>
        <w:t xml:space="preserve"> – 80%.</w:t>
      </w:r>
    </w:p>
    <w:p w14:paraId="4AD44D18" w14:textId="77777777" w:rsidR="00F80447" w:rsidRDefault="00F80447" w:rsidP="00F8044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В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ынос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границ земельного участка на местности арендатор осуществляет самостоятельно и за свой счет. </w:t>
      </w:r>
    </w:p>
    <w:p w14:paraId="4D9E6DBB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Обустройство заезда на земельный участок арендатор осуществляет самостоятельно и за свой счет. </w:t>
      </w:r>
    </w:p>
    <w:p w14:paraId="51E47ADF" w14:textId="77777777" w:rsidR="00F80447" w:rsidRDefault="00F80447" w:rsidP="00F80447">
      <w:pPr>
        <w:tabs>
          <w:tab w:val="left" w:pos="390"/>
          <w:tab w:val="left" w:pos="1090"/>
        </w:tabs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Срок аренды земельного участка – 58 (пятьдесят восемь) месяцев. </w:t>
      </w:r>
    </w:p>
    <w:p w14:paraId="454A91FB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</w:rPr>
      </w:pPr>
    </w:p>
    <w:p w14:paraId="58CF2346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3</w:t>
      </w:r>
      <w:r>
        <w:rPr>
          <w:rFonts w:ascii="Times New Roman" w:hAnsi="Times New Roman" w:cs="Times New Roman"/>
          <w:sz w:val="24"/>
        </w:rPr>
        <w:t xml:space="preserve"> – земельный участок.</w:t>
      </w:r>
    </w:p>
    <w:p w14:paraId="1D890D26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Коми,  муниципальный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 «Корткеросский», сельское поселение «Пезмег», п. Аджером, ул. Лесная.</w:t>
      </w:r>
    </w:p>
    <w:p w14:paraId="2DCA20AE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384 кв. м.</w:t>
      </w:r>
    </w:p>
    <w:p w14:paraId="3E547DB1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11:06:3801003:195.</w:t>
      </w:r>
    </w:p>
    <w:p w14:paraId="4A66B7E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61AA197E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объекты придорожного сервиса (станция технического обслуживания легковых автомобилей до 5 постов (без малярно-жестяных работ). </w:t>
      </w:r>
    </w:p>
    <w:p w14:paraId="55A0EB49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Категория земель: </w:t>
      </w:r>
      <w:r>
        <w:rPr>
          <w:rFonts w:ascii="Times New Roman" w:hAnsi="Times New Roman" w:cs="Times New Roman"/>
          <w:sz w:val="24"/>
          <w:szCs w:val="24"/>
        </w:rPr>
        <w:t>земли населенных пунктов.</w:t>
      </w:r>
    </w:p>
    <w:p w14:paraId="196F3AAB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земельного участка:</w:t>
      </w:r>
      <w:r>
        <w:rPr>
          <w:rFonts w:ascii="Times New Roman" w:hAnsi="Times New Roman"/>
          <w:sz w:val="24"/>
          <w:szCs w:val="24"/>
        </w:rPr>
        <w:t xml:space="preserve"> не установлены.</w:t>
      </w:r>
    </w:p>
    <w:p w14:paraId="5B2A8238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п. Аджером имеются следующие централизованные системы:</w:t>
      </w:r>
    </w:p>
    <w:p w14:paraId="08D27EDB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3260"/>
        <w:gridCol w:w="2970"/>
      </w:tblGrid>
      <w:tr w:rsidR="00F80447" w14:paraId="55CE35E9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493D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системы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6D0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2E90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параметры</w:t>
            </w:r>
          </w:p>
        </w:tc>
      </w:tr>
      <w:tr w:rsidR="00F80447" w14:paraId="0172E5FE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FF30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C295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A86B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0447" w14:paraId="2D796339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01F0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24A9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4FE2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кб м./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0447" w14:paraId="5E64ED72" w14:textId="77777777" w:rsidTr="00F80447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5E8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D65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0,254 Гкал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556C" w14:textId="77777777" w:rsidR="00F80447" w:rsidRDefault="00F804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0F606C1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DF9DF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6B17BF18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Возможность подключения (технологического присоединения) объектов капитального строительства к сетям инженерно-технологического обеспечения имеется. </w:t>
      </w:r>
    </w:p>
    <w:p w14:paraId="090AE8D1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39859,00 рублей (Тридцать девять тысяч восемьсот пятьдесят девять рублей 00 копеек) без учета НДС.</w:t>
      </w:r>
    </w:p>
    <w:p w14:paraId="02925F6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1195,00 рублей (Одна тысяча сто девяносто пять рублей 00 копеек) без учета НДС.  </w:t>
      </w:r>
    </w:p>
    <w:p w14:paraId="44621B0D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7971,00 рубль (Семь тысяч девятьсот семьдесят один рубль 00 копеек) без учета НДС.</w:t>
      </w:r>
    </w:p>
    <w:p w14:paraId="02B4A383" w14:textId="77777777" w:rsidR="00F80447" w:rsidRDefault="00F80447" w:rsidP="00F8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17E47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Земельный участок расположен в территориальной зоне «П-2. Зона коммунально-складских предприятий».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«Пезмег». </w:t>
      </w:r>
    </w:p>
    <w:p w14:paraId="598651A5" w14:textId="77777777" w:rsidR="00F80447" w:rsidRDefault="00F80447" w:rsidP="00F80447">
      <w:pPr>
        <w:keepNext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Производственной зоне (П-1 и П-2):</w:t>
      </w:r>
    </w:p>
    <w:tbl>
      <w:tblPr>
        <w:tblW w:w="10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1"/>
        <w:gridCol w:w="7577"/>
        <w:gridCol w:w="294"/>
      </w:tblGrid>
      <w:tr w:rsidR="00F80447" w14:paraId="4EF5950D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0E58" w14:textId="77777777" w:rsidR="00F80447" w:rsidRDefault="00F80447">
            <w:pPr>
              <w:shd w:val="clear" w:color="auto" w:fill="FFFFFF"/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(максимальная) площадь земельного участка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12EB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минимальная площадь земельного участка – 0,0025 га,</w:t>
            </w:r>
          </w:p>
          <w:p w14:paraId="7858B01D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максимальная площадь земельного участка – 1,5 га,</w:t>
            </w:r>
          </w:p>
          <w:p w14:paraId="7D69345B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частности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80A6F95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предприятия бытового обслуживания – 30 кв. м на 1 рабочее место;</w:t>
            </w:r>
          </w:p>
          <w:p w14:paraId="53678FF4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жилищно-эксплуатационные организации – 0,3 га на объект;</w:t>
            </w:r>
          </w:p>
          <w:p w14:paraId="470A61E6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непродовольственных товаров – 580 кв. м;</w:t>
            </w:r>
          </w:p>
          <w:p w14:paraId="745AA1B9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строительных материалов (потребительские) – 300 кв. м;</w:t>
            </w:r>
          </w:p>
          <w:p w14:paraId="53FB28FF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склады твердого топлива с преимущественным использованием:</w:t>
            </w:r>
          </w:p>
          <w:p w14:paraId="6560A2F7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угля – 300 кв. м;</w:t>
            </w:r>
          </w:p>
          <w:p w14:paraId="4758BFE3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 – 300 кв. м;</w:t>
            </w:r>
          </w:p>
          <w:p w14:paraId="32C63F5B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гаражи грузовых автомобилей – 200 кв. м на 1 автомобиль;</w:t>
            </w:r>
          </w:p>
          <w:p w14:paraId="7A79625E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гаражи легковых автомобилей – 30 кв. м на 1 автомобиль;</w:t>
            </w:r>
          </w:p>
          <w:p w14:paraId="1DBFA7F6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стоянки легковых автомобилей – 25 кв. м на 1 автомобиль;</w:t>
            </w:r>
          </w:p>
          <w:p w14:paraId="5C9B4CED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котельные – 0,7 га;</w:t>
            </w:r>
          </w:p>
          <w:p w14:paraId="4CE301A7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станции технического обслуживания легковых автомобилей –0,1 га на 1 пост;</w:t>
            </w:r>
          </w:p>
          <w:p w14:paraId="3BC3508A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предприятия лесопильные, деревообрабатывающие – по заданию на проектирование</w:t>
            </w:r>
          </w:p>
        </w:tc>
      </w:tr>
      <w:tr w:rsidR="00F80447" w14:paraId="2D4E838F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E22C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 от «красной линии» улицы, проезда до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892A5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фасада здания производственного или коммунально-складского назначения – не менее чем 10 м (для проезда), не менее чем 20 м (для улицы)</w:t>
            </w:r>
          </w:p>
        </w:tc>
      </w:tr>
      <w:tr w:rsidR="00F80447" w14:paraId="0D7CE98B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C098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«красной линии» жилой застройки до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512C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статье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  Правил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муниципального образования сельского поселения «Пезмег» </w:t>
            </w:r>
          </w:p>
        </w:tc>
      </w:tr>
      <w:tr w:rsidR="00F80447" w14:paraId="20A56BBA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23D6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отступ от границ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 участка</w:t>
            </w:r>
            <w:proofErr w:type="gramEnd"/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36DE9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здания, строения, сооружения – не менее 3 м,</w:t>
            </w:r>
          </w:p>
          <w:p w14:paraId="0B3C3AB8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подсобные и вспомогательные сооружения – не менее 1м.</w:t>
            </w:r>
          </w:p>
        </w:tc>
      </w:tr>
      <w:tr w:rsidR="00F80447" w14:paraId="203329B8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91F8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вспомогательных строений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90F1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F80447" w14:paraId="5DB3E3B7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4C36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зданий. Этажность.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A1B0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для всех основных строений количество надземных этажей – не более двух с возможным использованием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 мансардного этажа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высота от уровня земли: до верха плоской кровли – не более 9,6 м; до конька скатной кровли – не более 13,6 м;</w:t>
            </w:r>
          </w:p>
          <w:p w14:paraId="7453B041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14:paraId="499DAD37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исключение: шпили, башни, флагштоки – не подлежит установлению;</w:t>
            </w:r>
          </w:p>
          <w:p w14:paraId="410AFDB5" w14:textId="77777777" w:rsidR="00F80447" w:rsidRDefault="00F80447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отдельно стоящего гаража высота от уровня земли: до верха плоской кровли – не более 4 м</w:t>
            </w:r>
          </w:p>
        </w:tc>
      </w:tr>
      <w:tr w:rsidR="00F80447" w14:paraId="09AEEB69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D0F3" w14:textId="77777777" w:rsidR="00F80447" w:rsidRDefault="00F80447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E294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 стороны улиц ограждение должно быть прозрачным (решетчатым, сетчатым, не глухим);</w:t>
            </w:r>
          </w:p>
          <w:p w14:paraId="48781B9C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 ограждения со стороны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проезжей части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высота должны быть единообразны на протяжении одного квартала с обеих сторон улицы;</w:t>
            </w:r>
          </w:p>
          <w:p w14:paraId="42C81354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высота ограждения – не более 2 м;</w:t>
            </w:r>
          </w:p>
          <w:p w14:paraId="109A4753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F80447" w14:paraId="58F3DF53" w14:textId="77777777" w:rsidTr="00F80447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CDB9" w14:textId="77777777" w:rsidR="00F80447" w:rsidRDefault="00F80447">
            <w:pPr>
              <w:shd w:val="clear" w:color="auto" w:fill="FFFFFF"/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земельного участка  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FCFC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производственных объектов</w:t>
            </w:r>
          </w:p>
          <w:p w14:paraId="5DE73406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коммунально-складских объектов</w:t>
            </w:r>
          </w:p>
          <w:p w14:paraId="09C3BA47" w14:textId="77777777" w:rsidR="00F80447" w:rsidRDefault="00F80447">
            <w:pPr>
              <w:shd w:val="clear" w:color="auto" w:fill="FFFFFF"/>
              <w:tabs>
                <w:tab w:val="left" w:pos="1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станции технического обслуживания легковых автомобилей </w:t>
            </w:r>
          </w:p>
          <w:p w14:paraId="34CDDF14" w14:textId="77777777" w:rsidR="00F80447" w:rsidRDefault="00F80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60 и не более 80%</w:t>
            </w:r>
          </w:p>
        </w:tc>
      </w:tr>
      <w:tr w:rsidR="00F80447" w14:paraId="6B4CAAD9" w14:textId="77777777" w:rsidTr="00F80447">
        <w:trPr>
          <w:gridAfter w:val="1"/>
          <w:wAfter w:w="294" w:type="dxa"/>
          <w:jc w:val="center"/>
        </w:trPr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CB63EC" w14:textId="77777777" w:rsidR="00F80447" w:rsidRDefault="00F80447">
            <w:pPr>
              <w:spacing w:after="1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14:paraId="7BC5165E" w14:textId="77777777" w:rsidR="00F80447" w:rsidRDefault="00F80447">
            <w:pPr>
              <w:spacing w:after="1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Вынос границ земельного участка на местности арендатор осуществляет самостоятельно и за свой счет. </w:t>
            </w:r>
          </w:p>
          <w:p w14:paraId="52F818D8" w14:textId="77777777" w:rsidR="00F80447" w:rsidRDefault="00F80447">
            <w:pPr>
              <w:spacing w:after="1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Обустройство заезда на земельный участок арендатор осуществляет самостоятельно и за свой счет. </w:t>
            </w:r>
          </w:p>
          <w:p w14:paraId="12DE0AB0" w14:textId="77777777" w:rsidR="00F80447" w:rsidRDefault="00F80447">
            <w:pPr>
              <w:spacing w:after="1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Срок аренды земельного участка – 30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тридцать)  месяцев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77432769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664BEC97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09C04A0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30E4BAF9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51E5A06C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</w:t>
      </w:r>
      <w:proofErr w:type="gramStart"/>
      <w:r>
        <w:rPr>
          <w:rFonts w:ascii="Times New Roman" w:hAnsi="Times New Roman" w:cs="Times New Roman"/>
          <w:sz w:val="24"/>
          <w:szCs w:val="24"/>
        </w:rPr>
        <w:t>с  01.02.2023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года, понедельник – пятница  с  09.00 до 15.00 часов, перерыв с  13.00 часов до 14.00 часов.</w:t>
      </w:r>
    </w:p>
    <w:p w14:paraId="7148316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09.03.2023 года в 13.00 часов. </w:t>
      </w:r>
    </w:p>
    <w:p w14:paraId="799BA137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6284BDBB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196F876D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66AB27ED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4F27AC4D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009F3D1" w14:textId="77777777" w:rsidR="00F80447" w:rsidRDefault="00F80447" w:rsidP="00F8044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8DB7DB4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определения участников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аукциона:  13.03.2023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в 11.00 часов.</w:t>
      </w:r>
    </w:p>
    <w:p w14:paraId="777247FE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7640C0CC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2D31571C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58E79088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по предварительной договоренности по адресу приема заявки. </w:t>
      </w:r>
    </w:p>
    <w:p w14:paraId="46A0968F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Заявка на участие в аукционе, поступившая по истечении срока приема заявок, возвращается заявителю в день ее поступления. </w:t>
      </w:r>
    </w:p>
    <w:p w14:paraId="19BCCE08" w14:textId="77777777" w:rsidR="00F80447" w:rsidRDefault="00F80447" w:rsidP="00F80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7B38D9D3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4F097A73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39AB5EED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7E657912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5E2929D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301F5A3E" w14:textId="77777777" w:rsidR="00F80447" w:rsidRDefault="00F80447" w:rsidP="00F80447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3DD5C1C2" w14:textId="77777777" w:rsidR="00F80447" w:rsidRDefault="00F80447" w:rsidP="00F80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Представление документов, подтверждающих внесение задатка, признается заключением соглашения о задатке.</w:t>
      </w:r>
    </w:p>
    <w:p w14:paraId="4C770305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  <w:r>
        <w:rPr>
          <w:color w:val="FF0000"/>
          <w:sz w:val="24"/>
        </w:rPr>
        <w:t xml:space="preserve">  </w:t>
      </w:r>
      <w:r>
        <w:rPr>
          <w:sz w:val="24"/>
        </w:rPr>
        <w:t xml:space="preserve"> Последний срок внесения </w:t>
      </w:r>
      <w:proofErr w:type="gramStart"/>
      <w:r>
        <w:rPr>
          <w:sz w:val="24"/>
        </w:rPr>
        <w:t>задатка:  09.03.2023</w:t>
      </w:r>
      <w:proofErr w:type="gramEnd"/>
      <w:r>
        <w:rPr>
          <w:sz w:val="24"/>
        </w:rPr>
        <w:t xml:space="preserve"> года до 13.00 часов.  </w:t>
      </w:r>
    </w:p>
    <w:p w14:paraId="0CBBC4F7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lastRenderedPageBreak/>
        <w:t xml:space="preserve">  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1A7FEBA9" w14:textId="77777777" w:rsidR="00F80447" w:rsidRDefault="00F80447" w:rsidP="00F80447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38806127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301BD5D5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36E71CDA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</w:p>
    <w:p w14:paraId="5B4AB42E" w14:textId="77777777" w:rsidR="00F80447" w:rsidRDefault="00F80447" w:rsidP="00F8044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5BEF3282" w14:textId="77777777" w:rsidR="00F80447" w:rsidRDefault="00F80447" w:rsidP="00F80447">
      <w:pPr>
        <w:pStyle w:val="aa"/>
        <w:tabs>
          <w:tab w:val="left" w:pos="898"/>
        </w:tabs>
        <w:ind w:firstLine="0"/>
        <w:rPr>
          <w:color w:val="FF0000"/>
        </w:rPr>
      </w:pPr>
      <w:r>
        <w:rPr>
          <w:sz w:val="24"/>
        </w:rPr>
        <w:t xml:space="preserve">                        2. Проект договора аренды земельного участка. </w:t>
      </w:r>
    </w:p>
    <w:p w14:paraId="7498803F" w14:textId="484D727A" w:rsidR="00FF63F7" w:rsidRDefault="00FF63F7" w:rsidP="002578AA">
      <w:pPr>
        <w:spacing w:after="0" w:line="240" w:lineRule="auto"/>
        <w:jc w:val="both"/>
        <w:rPr>
          <w:sz w:val="24"/>
        </w:rPr>
      </w:pPr>
    </w:p>
    <w:p w14:paraId="46B3ADD3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  <w:bookmarkStart w:id="1" w:name="_GoBack"/>
      <w:bookmarkEnd w:id="1"/>
    </w:p>
    <w:p w14:paraId="7D3CB04E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Заместитель Главы муниципального района</w:t>
      </w:r>
    </w:p>
    <w:p w14:paraId="76204C18" w14:textId="7898397C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«Корткеросский» - руководителя администрации                                                 Е.Н. Андреева</w:t>
      </w:r>
    </w:p>
    <w:p w14:paraId="30EF188A" w14:textId="77777777" w:rsidR="00AC0F0F" w:rsidRDefault="00AC0F0F" w:rsidP="00FF63F7">
      <w:pPr>
        <w:pStyle w:val="aa"/>
        <w:tabs>
          <w:tab w:val="left" w:pos="898"/>
        </w:tabs>
        <w:ind w:firstLine="0"/>
        <w:rPr>
          <w:sz w:val="24"/>
        </w:rPr>
      </w:pPr>
    </w:p>
    <w:p w14:paraId="197CE747" w14:textId="77777777" w:rsidR="00FF63F7" w:rsidRDefault="00FF63F7" w:rsidP="00FF63F7">
      <w:pPr>
        <w:spacing w:after="1" w:line="240" w:lineRule="atLeast"/>
        <w:jc w:val="both"/>
      </w:pPr>
    </w:p>
    <w:p w14:paraId="67C141F8" w14:textId="77777777" w:rsidR="00FF63F7" w:rsidRDefault="00FF63F7" w:rsidP="00FF63F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2CF7A6" w14:textId="76F7A3FA" w:rsidR="00E85F21" w:rsidRPr="00FF63F7" w:rsidRDefault="00E85F21" w:rsidP="00FF63F7">
      <w:r w:rsidRPr="00FF63F7">
        <w:t xml:space="preserve"> </w:t>
      </w:r>
    </w:p>
    <w:sectPr w:rsidR="00E85F21" w:rsidRPr="00FF63F7" w:rsidSect="003B1CB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>
    <w:nsid w:val="325D4A29"/>
    <w:multiLevelType w:val="hybridMultilevel"/>
    <w:tmpl w:val="6E2ADCAC"/>
    <w:lvl w:ilvl="0" w:tplc="5EC87A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B29BA"/>
    <w:multiLevelType w:val="hybridMultilevel"/>
    <w:tmpl w:val="EBC800D8"/>
    <w:lvl w:ilvl="0" w:tplc="0000000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OpenSymbol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1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2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3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4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42CC"/>
    <w:rsid w:val="00012481"/>
    <w:rsid w:val="00017816"/>
    <w:rsid w:val="0002359E"/>
    <w:rsid w:val="000332BA"/>
    <w:rsid w:val="000361E5"/>
    <w:rsid w:val="00044980"/>
    <w:rsid w:val="00054D1C"/>
    <w:rsid w:val="00057E22"/>
    <w:rsid w:val="000603F2"/>
    <w:rsid w:val="00060736"/>
    <w:rsid w:val="000614C5"/>
    <w:rsid w:val="00062041"/>
    <w:rsid w:val="00063255"/>
    <w:rsid w:val="00063BA6"/>
    <w:rsid w:val="000822B2"/>
    <w:rsid w:val="000824DB"/>
    <w:rsid w:val="0008486F"/>
    <w:rsid w:val="0008489F"/>
    <w:rsid w:val="00085036"/>
    <w:rsid w:val="00085ECC"/>
    <w:rsid w:val="000872C8"/>
    <w:rsid w:val="00097E25"/>
    <w:rsid w:val="000A3E12"/>
    <w:rsid w:val="000B0BDE"/>
    <w:rsid w:val="000E249A"/>
    <w:rsid w:val="000E5657"/>
    <w:rsid w:val="000F3D93"/>
    <w:rsid w:val="000F7EEB"/>
    <w:rsid w:val="00100AFD"/>
    <w:rsid w:val="00110B29"/>
    <w:rsid w:val="001244FF"/>
    <w:rsid w:val="00136C53"/>
    <w:rsid w:val="0014116F"/>
    <w:rsid w:val="0014197B"/>
    <w:rsid w:val="00145ACA"/>
    <w:rsid w:val="00150187"/>
    <w:rsid w:val="0016064B"/>
    <w:rsid w:val="00165C1A"/>
    <w:rsid w:val="00166E3B"/>
    <w:rsid w:val="0016711A"/>
    <w:rsid w:val="00174742"/>
    <w:rsid w:val="00175CCD"/>
    <w:rsid w:val="001773A8"/>
    <w:rsid w:val="00181BDC"/>
    <w:rsid w:val="001A0449"/>
    <w:rsid w:val="001A604A"/>
    <w:rsid w:val="001A6412"/>
    <w:rsid w:val="001B3D0C"/>
    <w:rsid w:val="001B5A4E"/>
    <w:rsid w:val="001B7461"/>
    <w:rsid w:val="001C178C"/>
    <w:rsid w:val="001C568B"/>
    <w:rsid w:val="001C683A"/>
    <w:rsid w:val="001E30ED"/>
    <w:rsid w:val="001E43BA"/>
    <w:rsid w:val="001E59E3"/>
    <w:rsid w:val="001F0A6F"/>
    <w:rsid w:val="001F2A87"/>
    <w:rsid w:val="0020717A"/>
    <w:rsid w:val="00207C1D"/>
    <w:rsid w:val="0022712C"/>
    <w:rsid w:val="002311F4"/>
    <w:rsid w:val="00231577"/>
    <w:rsid w:val="00233A6C"/>
    <w:rsid w:val="00244B12"/>
    <w:rsid w:val="0024648B"/>
    <w:rsid w:val="00247DF7"/>
    <w:rsid w:val="0025013A"/>
    <w:rsid w:val="002578AA"/>
    <w:rsid w:val="0026417C"/>
    <w:rsid w:val="00276040"/>
    <w:rsid w:val="00280A32"/>
    <w:rsid w:val="00296943"/>
    <w:rsid w:val="002A018C"/>
    <w:rsid w:val="002A0C9A"/>
    <w:rsid w:val="002A1514"/>
    <w:rsid w:val="002A3284"/>
    <w:rsid w:val="002A49B1"/>
    <w:rsid w:val="002A6F3C"/>
    <w:rsid w:val="002B7732"/>
    <w:rsid w:val="002C79C5"/>
    <w:rsid w:val="002D310A"/>
    <w:rsid w:val="0030755A"/>
    <w:rsid w:val="0031402A"/>
    <w:rsid w:val="0031558D"/>
    <w:rsid w:val="00327D51"/>
    <w:rsid w:val="003315AD"/>
    <w:rsid w:val="00340DF9"/>
    <w:rsid w:val="00342BC4"/>
    <w:rsid w:val="0034386D"/>
    <w:rsid w:val="00344893"/>
    <w:rsid w:val="00352999"/>
    <w:rsid w:val="00357FA6"/>
    <w:rsid w:val="0037032C"/>
    <w:rsid w:val="00376CD7"/>
    <w:rsid w:val="0037713E"/>
    <w:rsid w:val="00377688"/>
    <w:rsid w:val="00380724"/>
    <w:rsid w:val="003849FB"/>
    <w:rsid w:val="00394FEA"/>
    <w:rsid w:val="00397011"/>
    <w:rsid w:val="003A18FD"/>
    <w:rsid w:val="003A5E59"/>
    <w:rsid w:val="003A6C5B"/>
    <w:rsid w:val="003B1CB0"/>
    <w:rsid w:val="003B33E9"/>
    <w:rsid w:val="003B3511"/>
    <w:rsid w:val="003B59B7"/>
    <w:rsid w:val="003C2BD0"/>
    <w:rsid w:val="003E114C"/>
    <w:rsid w:val="003E1378"/>
    <w:rsid w:val="003E5726"/>
    <w:rsid w:val="003E6BC2"/>
    <w:rsid w:val="003F00D3"/>
    <w:rsid w:val="003F2274"/>
    <w:rsid w:val="003F25D9"/>
    <w:rsid w:val="003F4936"/>
    <w:rsid w:val="00403A67"/>
    <w:rsid w:val="0040651C"/>
    <w:rsid w:val="00413245"/>
    <w:rsid w:val="00420093"/>
    <w:rsid w:val="00433B81"/>
    <w:rsid w:val="00446858"/>
    <w:rsid w:val="00455B9B"/>
    <w:rsid w:val="004602DE"/>
    <w:rsid w:val="00474FEC"/>
    <w:rsid w:val="00475282"/>
    <w:rsid w:val="00480EFE"/>
    <w:rsid w:val="004904F9"/>
    <w:rsid w:val="004921A3"/>
    <w:rsid w:val="00496918"/>
    <w:rsid w:val="004A12DD"/>
    <w:rsid w:val="004A3EC1"/>
    <w:rsid w:val="004B1E81"/>
    <w:rsid w:val="004D2112"/>
    <w:rsid w:val="004D3910"/>
    <w:rsid w:val="004D410B"/>
    <w:rsid w:val="004E2BC5"/>
    <w:rsid w:val="004F304C"/>
    <w:rsid w:val="004F337F"/>
    <w:rsid w:val="004F7EE9"/>
    <w:rsid w:val="0050375A"/>
    <w:rsid w:val="00503E84"/>
    <w:rsid w:val="00514A05"/>
    <w:rsid w:val="00516E01"/>
    <w:rsid w:val="005203F3"/>
    <w:rsid w:val="00524829"/>
    <w:rsid w:val="00525A5B"/>
    <w:rsid w:val="00525EB6"/>
    <w:rsid w:val="00534AB6"/>
    <w:rsid w:val="00541362"/>
    <w:rsid w:val="0054362B"/>
    <w:rsid w:val="00543FD3"/>
    <w:rsid w:val="00545396"/>
    <w:rsid w:val="00560236"/>
    <w:rsid w:val="00561DC0"/>
    <w:rsid w:val="005708D5"/>
    <w:rsid w:val="00571B80"/>
    <w:rsid w:val="00572573"/>
    <w:rsid w:val="00574FE7"/>
    <w:rsid w:val="005854B5"/>
    <w:rsid w:val="00591757"/>
    <w:rsid w:val="005932F4"/>
    <w:rsid w:val="005935F5"/>
    <w:rsid w:val="005A1268"/>
    <w:rsid w:val="005A1F53"/>
    <w:rsid w:val="005A359C"/>
    <w:rsid w:val="005B66F9"/>
    <w:rsid w:val="005B7EEA"/>
    <w:rsid w:val="005C0219"/>
    <w:rsid w:val="005C4691"/>
    <w:rsid w:val="005C7F73"/>
    <w:rsid w:val="005E6B83"/>
    <w:rsid w:val="005F756A"/>
    <w:rsid w:val="00602475"/>
    <w:rsid w:val="00602F84"/>
    <w:rsid w:val="006035C1"/>
    <w:rsid w:val="00606548"/>
    <w:rsid w:val="00627FEA"/>
    <w:rsid w:val="00630C36"/>
    <w:rsid w:val="0064149B"/>
    <w:rsid w:val="00644B89"/>
    <w:rsid w:val="006542FA"/>
    <w:rsid w:val="00657284"/>
    <w:rsid w:val="006628D6"/>
    <w:rsid w:val="006637E4"/>
    <w:rsid w:val="006647A5"/>
    <w:rsid w:val="00665F63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382E"/>
    <w:rsid w:val="006D1083"/>
    <w:rsid w:val="006D4C5A"/>
    <w:rsid w:val="006E1C42"/>
    <w:rsid w:val="006E2967"/>
    <w:rsid w:val="007059CE"/>
    <w:rsid w:val="00711038"/>
    <w:rsid w:val="0071579E"/>
    <w:rsid w:val="00721F2A"/>
    <w:rsid w:val="00741171"/>
    <w:rsid w:val="00746CAC"/>
    <w:rsid w:val="00763705"/>
    <w:rsid w:val="0076482A"/>
    <w:rsid w:val="00771F14"/>
    <w:rsid w:val="00774845"/>
    <w:rsid w:val="00774ABD"/>
    <w:rsid w:val="00775C7C"/>
    <w:rsid w:val="00786F95"/>
    <w:rsid w:val="00797C35"/>
    <w:rsid w:val="007A1C21"/>
    <w:rsid w:val="007A614C"/>
    <w:rsid w:val="007A62C3"/>
    <w:rsid w:val="007A797E"/>
    <w:rsid w:val="007B3A29"/>
    <w:rsid w:val="007B7422"/>
    <w:rsid w:val="007D39B5"/>
    <w:rsid w:val="007E645F"/>
    <w:rsid w:val="007E7CD0"/>
    <w:rsid w:val="007F009B"/>
    <w:rsid w:val="007F6F5C"/>
    <w:rsid w:val="0080090C"/>
    <w:rsid w:val="00805D1B"/>
    <w:rsid w:val="00806B89"/>
    <w:rsid w:val="00807511"/>
    <w:rsid w:val="00826755"/>
    <w:rsid w:val="00835F9F"/>
    <w:rsid w:val="00842DC6"/>
    <w:rsid w:val="00847130"/>
    <w:rsid w:val="00854C6F"/>
    <w:rsid w:val="00864C87"/>
    <w:rsid w:val="00875E42"/>
    <w:rsid w:val="00880293"/>
    <w:rsid w:val="00886903"/>
    <w:rsid w:val="0089275A"/>
    <w:rsid w:val="008A5123"/>
    <w:rsid w:val="008B1236"/>
    <w:rsid w:val="008B4908"/>
    <w:rsid w:val="008B64A7"/>
    <w:rsid w:val="008B69BF"/>
    <w:rsid w:val="008C29A8"/>
    <w:rsid w:val="008D1462"/>
    <w:rsid w:val="008E2F77"/>
    <w:rsid w:val="008E40DB"/>
    <w:rsid w:val="00900632"/>
    <w:rsid w:val="0091224E"/>
    <w:rsid w:val="00917410"/>
    <w:rsid w:val="0092650D"/>
    <w:rsid w:val="009269F8"/>
    <w:rsid w:val="009270C2"/>
    <w:rsid w:val="009274EA"/>
    <w:rsid w:val="00931D4E"/>
    <w:rsid w:val="00935003"/>
    <w:rsid w:val="009439A7"/>
    <w:rsid w:val="0094402E"/>
    <w:rsid w:val="00947557"/>
    <w:rsid w:val="00947A92"/>
    <w:rsid w:val="00954E47"/>
    <w:rsid w:val="0096382E"/>
    <w:rsid w:val="009940D6"/>
    <w:rsid w:val="009A3459"/>
    <w:rsid w:val="009A4917"/>
    <w:rsid w:val="009A6F45"/>
    <w:rsid w:val="009B39C1"/>
    <w:rsid w:val="009D120C"/>
    <w:rsid w:val="009D61D7"/>
    <w:rsid w:val="009E28EA"/>
    <w:rsid w:val="009E793F"/>
    <w:rsid w:val="009F303A"/>
    <w:rsid w:val="009F34B9"/>
    <w:rsid w:val="00A00BE7"/>
    <w:rsid w:val="00A031C5"/>
    <w:rsid w:val="00A2254F"/>
    <w:rsid w:val="00A33159"/>
    <w:rsid w:val="00A35F3F"/>
    <w:rsid w:val="00A417E1"/>
    <w:rsid w:val="00A41E49"/>
    <w:rsid w:val="00A41F59"/>
    <w:rsid w:val="00A459AB"/>
    <w:rsid w:val="00A52257"/>
    <w:rsid w:val="00A53FC8"/>
    <w:rsid w:val="00A56A39"/>
    <w:rsid w:val="00A62240"/>
    <w:rsid w:val="00A816D4"/>
    <w:rsid w:val="00A8170C"/>
    <w:rsid w:val="00A81EC2"/>
    <w:rsid w:val="00A83D8B"/>
    <w:rsid w:val="00A84837"/>
    <w:rsid w:val="00A9053E"/>
    <w:rsid w:val="00AA5264"/>
    <w:rsid w:val="00AA634C"/>
    <w:rsid w:val="00AB0AD8"/>
    <w:rsid w:val="00AB5B66"/>
    <w:rsid w:val="00AC02C4"/>
    <w:rsid w:val="00AC0F0F"/>
    <w:rsid w:val="00AC28C5"/>
    <w:rsid w:val="00AC3921"/>
    <w:rsid w:val="00AC7EB7"/>
    <w:rsid w:val="00AD3A83"/>
    <w:rsid w:val="00AD6975"/>
    <w:rsid w:val="00B02041"/>
    <w:rsid w:val="00B11024"/>
    <w:rsid w:val="00B14F9B"/>
    <w:rsid w:val="00B16DA0"/>
    <w:rsid w:val="00B22DB3"/>
    <w:rsid w:val="00B251CC"/>
    <w:rsid w:val="00B318D1"/>
    <w:rsid w:val="00B3242B"/>
    <w:rsid w:val="00B345BC"/>
    <w:rsid w:val="00B34CA0"/>
    <w:rsid w:val="00B40D09"/>
    <w:rsid w:val="00B453D9"/>
    <w:rsid w:val="00B46C39"/>
    <w:rsid w:val="00B505BB"/>
    <w:rsid w:val="00B703FD"/>
    <w:rsid w:val="00B72BFC"/>
    <w:rsid w:val="00B815DA"/>
    <w:rsid w:val="00B83621"/>
    <w:rsid w:val="00B906EB"/>
    <w:rsid w:val="00B93718"/>
    <w:rsid w:val="00B94968"/>
    <w:rsid w:val="00B97D6A"/>
    <w:rsid w:val="00BA27EB"/>
    <w:rsid w:val="00BC3A25"/>
    <w:rsid w:val="00BC69A9"/>
    <w:rsid w:val="00BD110B"/>
    <w:rsid w:val="00BE0880"/>
    <w:rsid w:val="00BF200A"/>
    <w:rsid w:val="00C213A2"/>
    <w:rsid w:val="00C22FD0"/>
    <w:rsid w:val="00C23831"/>
    <w:rsid w:val="00C30DD2"/>
    <w:rsid w:val="00C32EF7"/>
    <w:rsid w:val="00C4421E"/>
    <w:rsid w:val="00C5636D"/>
    <w:rsid w:val="00C56E53"/>
    <w:rsid w:val="00C64004"/>
    <w:rsid w:val="00C66075"/>
    <w:rsid w:val="00C72BCA"/>
    <w:rsid w:val="00C85524"/>
    <w:rsid w:val="00C8669D"/>
    <w:rsid w:val="00C90B58"/>
    <w:rsid w:val="00CA56C1"/>
    <w:rsid w:val="00CA5A60"/>
    <w:rsid w:val="00CB6406"/>
    <w:rsid w:val="00CC06F8"/>
    <w:rsid w:val="00CC34DC"/>
    <w:rsid w:val="00CC714E"/>
    <w:rsid w:val="00CD10E5"/>
    <w:rsid w:val="00CD2CD2"/>
    <w:rsid w:val="00CD5473"/>
    <w:rsid w:val="00CD603E"/>
    <w:rsid w:val="00CE7B91"/>
    <w:rsid w:val="00CF0E0A"/>
    <w:rsid w:val="00CF0FEF"/>
    <w:rsid w:val="00CF3911"/>
    <w:rsid w:val="00CF48E4"/>
    <w:rsid w:val="00D03A36"/>
    <w:rsid w:val="00D22A63"/>
    <w:rsid w:val="00D24085"/>
    <w:rsid w:val="00D260FF"/>
    <w:rsid w:val="00D32276"/>
    <w:rsid w:val="00D328E0"/>
    <w:rsid w:val="00D36A29"/>
    <w:rsid w:val="00D43359"/>
    <w:rsid w:val="00D44D99"/>
    <w:rsid w:val="00D5017D"/>
    <w:rsid w:val="00D52FA2"/>
    <w:rsid w:val="00D57889"/>
    <w:rsid w:val="00D60CEE"/>
    <w:rsid w:val="00D674CE"/>
    <w:rsid w:val="00D7161E"/>
    <w:rsid w:val="00D904E8"/>
    <w:rsid w:val="00D9149F"/>
    <w:rsid w:val="00DB23AA"/>
    <w:rsid w:val="00DB6DDA"/>
    <w:rsid w:val="00DC0636"/>
    <w:rsid w:val="00DD5BC8"/>
    <w:rsid w:val="00DD65A6"/>
    <w:rsid w:val="00DE1835"/>
    <w:rsid w:val="00DE1C48"/>
    <w:rsid w:val="00DE20C3"/>
    <w:rsid w:val="00DE7EE4"/>
    <w:rsid w:val="00DF10FD"/>
    <w:rsid w:val="00DF1E21"/>
    <w:rsid w:val="00DF7DB8"/>
    <w:rsid w:val="00E1299D"/>
    <w:rsid w:val="00E1782A"/>
    <w:rsid w:val="00E229BD"/>
    <w:rsid w:val="00E265C3"/>
    <w:rsid w:val="00E27EBB"/>
    <w:rsid w:val="00E301A7"/>
    <w:rsid w:val="00E32E44"/>
    <w:rsid w:val="00E3551B"/>
    <w:rsid w:val="00E54FFD"/>
    <w:rsid w:val="00E67A4E"/>
    <w:rsid w:val="00E67F44"/>
    <w:rsid w:val="00E710A7"/>
    <w:rsid w:val="00E72FFC"/>
    <w:rsid w:val="00E74AA7"/>
    <w:rsid w:val="00E85A7E"/>
    <w:rsid w:val="00E85EF1"/>
    <w:rsid w:val="00E85F21"/>
    <w:rsid w:val="00E90C13"/>
    <w:rsid w:val="00E9208F"/>
    <w:rsid w:val="00EA667C"/>
    <w:rsid w:val="00EB1E44"/>
    <w:rsid w:val="00EB4970"/>
    <w:rsid w:val="00EC3E33"/>
    <w:rsid w:val="00ED2716"/>
    <w:rsid w:val="00ED2846"/>
    <w:rsid w:val="00F001FA"/>
    <w:rsid w:val="00F07246"/>
    <w:rsid w:val="00F1777B"/>
    <w:rsid w:val="00F26116"/>
    <w:rsid w:val="00F3145D"/>
    <w:rsid w:val="00F4621E"/>
    <w:rsid w:val="00F462AD"/>
    <w:rsid w:val="00F47105"/>
    <w:rsid w:val="00F47B5A"/>
    <w:rsid w:val="00F51BDA"/>
    <w:rsid w:val="00F52124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705E"/>
    <w:rsid w:val="00F80447"/>
    <w:rsid w:val="00F92723"/>
    <w:rsid w:val="00F961D8"/>
    <w:rsid w:val="00F967B7"/>
    <w:rsid w:val="00F97133"/>
    <w:rsid w:val="00FA3D2A"/>
    <w:rsid w:val="00FA425D"/>
    <w:rsid w:val="00FA6A5E"/>
    <w:rsid w:val="00FB0D42"/>
    <w:rsid w:val="00FB48D3"/>
    <w:rsid w:val="00FB67A0"/>
    <w:rsid w:val="00FD0A4F"/>
    <w:rsid w:val="00FD5234"/>
    <w:rsid w:val="00FD6055"/>
    <w:rsid w:val="00FE71F7"/>
    <w:rsid w:val="00FF4AD0"/>
    <w:rsid w:val="00FF4CFE"/>
    <w:rsid w:val="00FF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 w:line="259" w:lineRule="auto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99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99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Intense Emphasis"/>
    <w:basedOn w:val="a0"/>
    <w:uiPriority w:val="99"/>
    <w:qFormat/>
    <w:rsid w:val="00F80447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10</Pages>
  <Words>3810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1051</cp:revision>
  <cp:lastPrinted>2021-01-27T07:56:00Z</cp:lastPrinted>
  <dcterms:created xsi:type="dcterms:W3CDTF">2020-09-22T13:12:00Z</dcterms:created>
  <dcterms:modified xsi:type="dcterms:W3CDTF">2023-01-30T08:22:00Z</dcterms:modified>
</cp:coreProperties>
</file>