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8B0" w:rsidRPr="00233A6C" w:rsidRDefault="004218B0" w:rsidP="004218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3A6C">
        <w:rPr>
          <w:rFonts w:ascii="Times New Roman" w:hAnsi="Times New Roman" w:cs="Times New Roman"/>
          <w:sz w:val="24"/>
          <w:szCs w:val="24"/>
        </w:rPr>
        <w:t>Извещение</w:t>
      </w:r>
    </w:p>
    <w:p w:rsidR="004218B0" w:rsidRPr="004D3910" w:rsidRDefault="004218B0" w:rsidP="004218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:rsidR="004218B0" w:rsidRDefault="004218B0" w:rsidP="004218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>договора аренды 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3910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4218B0" w:rsidRDefault="004218B0" w:rsidP="004218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земельных участков. 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Советская, д. 225, телефон: (82136) 9-22-38.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5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муниципального района «Корткеросский» </w:t>
      </w:r>
      <w:r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публикуется в порядке, установленном для официального опубликования (обнародования) муниципальных правовых актов уставами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и сельского поселения «Корткерос». </w:t>
      </w:r>
    </w:p>
    <w:p w:rsidR="004218B0" w:rsidRPr="00743C1C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824">
        <w:rPr>
          <w:rFonts w:ascii="Times New Roman" w:hAnsi="Times New Roman" w:cs="Times New Roman"/>
          <w:sz w:val="24"/>
          <w:szCs w:val="24"/>
        </w:rPr>
        <w:t xml:space="preserve">   </w:t>
      </w:r>
      <w:r w:rsidRPr="00743C1C">
        <w:rPr>
          <w:rFonts w:ascii="Times New Roman" w:hAnsi="Times New Roman" w:cs="Times New Roman"/>
          <w:sz w:val="24"/>
          <w:szCs w:val="24"/>
        </w:rPr>
        <w:t xml:space="preserve">Реквизиты решения о проведении аукциона: постановление администрации муниципального района «Корткеросский» </w:t>
      </w:r>
      <w:proofErr w:type="gramStart"/>
      <w:r w:rsidRPr="00743C1C">
        <w:rPr>
          <w:rFonts w:ascii="Times New Roman" w:hAnsi="Times New Roman" w:cs="Times New Roman"/>
          <w:sz w:val="24"/>
          <w:szCs w:val="24"/>
        </w:rPr>
        <w:t>от  27.09.2022</w:t>
      </w:r>
      <w:proofErr w:type="gramEnd"/>
      <w:r w:rsidRPr="00743C1C">
        <w:rPr>
          <w:rFonts w:ascii="Times New Roman" w:hAnsi="Times New Roman" w:cs="Times New Roman"/>
          <w:sz w:val="24"/>
          <w:szCs w:val="24"/>
        </w:rPr>
        <w:t xml:space="preserve"> года  №  1387.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846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CC06F8">
        <w:rPr>
          <w:rFonts w:ascii="Times New Roman" w:hAnsi="Times New Roman" w:cs="Times New Roman"/>
          <w:sz w:val="24"/>
          <w:szCs w:val="24"/>
        </w:rPr>
        <w:t>Форма п</w:t>
      </w:r>
      <w:r>
        <w:rPr>
          <w:rFonts w:ascii="Times New Roman" w:hAnsi="Times New Roman" w:cs="Times New Roman"/>
          <w:sz w:val="24"/>
          <w:szCs w:val="24"/>
        </w:rPr>
        <w:t xml:space="preserve">роведения торгов: аукцион с открытой формой подачи предложений о цене. 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:rsidR="004218B0" w:rsidRPr="0067183B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7183B">
        <w:rPr>
          <w:rFonts w:ascii="Times New Roman" w:hAnsi="Times New Roman" w:cs="Times New Roman"/>
          <w:sz w:val="24"/>
          <w:szCs w:val="24"/>
        </w:rPr>
        <w:t xml:space="preserve">Дата и время проведения </w:t>
      </w:r>
      <w:proofErr w:type="gramStart"/>
      <w:r w:rsidRPr="0067183B">
        <w:rPr>
          <w:rFonts w:ascii="Times New Roman" w:hAnsi="Times New Roman" w:cs="Times New Roman"/>
          <w:sz w:val="24"/>
          <w:szCs w:val="24"/>
        </w:rPr>
        <w:t>аукциона:  10.11.2022</w:t>
      </w:r>
      <w:proofErr w:type="gramEnd"/>
      <w:r w:rsidRPr="0067183B">
        <w:rPr>
          <w:rFonts w:ascii="Times New Roman" w:hAnsi="Times New Roman" w:cs="Times New Roman"/>
          <w:sz w:val="24"/>
          <w:szCs w:val="24"/>
        </w:rPr>
        <w:t xml:space="preserve"> года в 10.00 часов. 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8B0" w:rsidRDefault="004218B0" w:rsidP="004218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аукциона:</w:t>
      </w:r>
    </w:p>
    <w:p w:rsidR="004218B0" w:rsidRDefault="004218B0" w:rsidP="004218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8B0" w:rsidRPr="00680B86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b/>
          <w:sz w:val="24"/>
          <w:szCs w:val="24"/>
        </w:rPr>
        <w:t>Лот 1</w:t>
      </w:r>
      <w:r w:rsidRPr="00680B86"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:rsidR="004218B0" w:rsidRPr="00680B86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60572F">
        <w:rPr>
          <w:rFonts w:ascii="Times New Roman" w:hAnsi="Times New Roman" w:cs="Times New Roman"/>
          <w:b/>
          <w:sz w:val="24"/>
          <w:szCs w:val="24"/>
        </w:rPr>
        <w:t xml:space="preserve">Местоположение земельного </w:t>
      </w:r>
      <w:proofErr w:type="gramStart"/>
      <w:r w:rsidRPr="0060572F">
        <w:rPr>
          <w:rFonts w:ascii="Times New Roman" w:hAnsi="Times New Roman" w:cs="Times New Roman"/>
          <w:b/>
          <w:sz w:val="24"/>
          <w:szCs w:val="24"/>
        </w:rPr>
        <w:t>участка:</w:t>
      </w:r>
      <w:r w:rsidRPr="00680B86">
        <w:rPr>
          <w:rFonts w:ascii="Times New Roman" w:hAnsi="Times New Roman" w:cs="Times New Roman"/>
          <w:sz w:val="24"/>
          <w:szCs w:val="24"/>
        </w:rPr>
        <w:t xml:space="preserve">  Республика</w:t>
      </w:r>
      <w:proofErr w:type="gramEnd"/>
      <w:r w:rsidRPr="00680B86">
        <w:rPr>
          <w:rFonts w:ascii="Times New Roman" w:hAnsi="Times New Roman" w:cs="Times New Roman"/>
          <w:sz w:val="24"/>
          <w:szCs w:val="24"/>
        </w:rPr>
        <w:t xml:space="preserve"> Коми, </w:t>
      </w:r>
      <w:r>
        <w:rPr>
          <w:rFonts w:ascii="Times New Roman" w:hAnsi="Times New Roman" w:cs="Times New Roman"/>
          <w:sz w:val="24"/>
          <w:szCs w:val="24"/>
        </w:rPr>
        <w:t xml:space="preserve">Корткеросский  район,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Новая, д.8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:rsidR="004218B0" w:rsidRPr="00680B86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60572F"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 w:rsidRPr="00680B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1150</w:t>
      </w:r>
      <w:r w:rsidRPr="00680B86">
        <w:rPr>
          <w:rFonts w:ascii="Times New Roman" w:hAnsi="Times New Roman" w:cs="Times New Roman"/>
          <w:sz w:val="24"/>
          <w:szCs w:val="24"/>
        </w:rPr>
        <w:t xml:space="preserve"> кв. м.</w:t>
      </w:r>
    </w:p>
    <w:p w:rsidR="004218B0" w:rsidRPr="00680B86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60572F"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 w:rsidRPr="00680B86">
        <w:rPr>
          <w:rFonts w:ascii="Times New Roman" w:hAnsi="Times New Roman" w:cs="Times New Roman"/>
          <w:sz w:val="24"/>
          <w:szCs w:val="24"/>
        </w:rPr>
        <w:t xml:space="preserve"> 11:06:</w:t>
      </w:r>
      <w:r>
        <w:rPr>
          <w:rFonts w:ascii="Times New Roman" w:hAnsi="Times New Roman" w:cs="Times New Roman"/>
          <w:sz w:val="24"/>
          <w:szCs w:val="24"/>
        </w:rPr>
        <w:t>2601003:36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:rsidR="004218B0" w:rsidRPr="00680B86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72F">
        <w:rPr>
          <w:rFonts w:ascii="Times New Roman" w:hAnsi="Times New Roman" w:cs="Times New Roman"/>
          <w:b/>
          <w:sz w:val="24"/>
          <w:szCs w:val="24"/>
        </w:rPr>
        <w:t xml:space="preserve">   Право на земельный участок: </w:t>
      </w:r>
      <w:r w:rsidRPr="00680B86">
        <w:rPr>
          <w:rFonts w:ascii="Times New Roman" w:hAnsi="Times New Roman" w:cs="Times New Roman"/>
          <w:sz w:val="24"/>
          <w:szCs w:val="24"/>
        </w:rPr>
        <w:t xml:space="preserve">государственная собственность не разграничена. </w:t>
      </w:r>
    </w:p>
    <w:p w:rsidR="004218B0" w:rsidRPr="00680B86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60572F"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 w:rsidRPr="00680B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блокированная жилая застройка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18B0" w:rsidRPr="00680B86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60572F"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 w:rsidRPr="00680B86"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:rsidR="004218B0" w:rsidRPr="00E35FC1" w:rsidRDefault="004218B0" w:rsidP="004218B0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1C161F"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участка:</w:t>
      </w:r>
      <w:bookmarkStart w:id="0" w:name="_Hlk53147934"/>
      <w:r w:rsidRPr="00E35FC1">
        <w:rPr>
          <w:rFonts w:ascii="Times New Roman" w:hAnsi="Times New Roman" w:cs="Times New Roman"/>
          <w:sz w:val="24"/>
          <w:szCs w:val="24"/>
        </w:rPr>
        <w:t xml:space="preserve"> Соблюдение охранной зоны линейных объектов, </w:t>
      </w:r>
      <w:r w:rsidRPr="00E35FC1">
        <w:rPr>
          <w:rFonts w:ascii="Times New Roman" w:hAnsi="Times New Roman"/>
          <w:sz w:val="24"/>
          <w:szCs w:val="24"/>
        </w:rPr>
        <w:t xml:space="preserve">запрет строительства в охранной зоне ВЛ-0,4 </w:t>
      </w:r>
      <w:proofErr w:type="spellStart"/>
      <w:r w:rsidRPr="00E35FC1">
        <w:rPr>
          <w:rFonts w:ascii="Times New Roman" w:hAnsi="Times New Roman"/>
          <w:sz w:val="24"/>
          <w:szCs w:val="24"/>
        </w:rPr>
        <w:t>кВ.</w:t>
      </w:r>
      <w:proofErr w:type="spellEnd"/>
      <w:r w:rsidRPr="00E35FC1">
        <w:rPr>
          <w:rFonts w:ascii="Times New Roman" w:hAnsi="Times New Roman"/>
          <w:sz w:val="24"/>
          <w:szCs w:val="24"/>
        </w:rPr>
        <w:t xml:space="preserve">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 </w:t>
      </w:r>
      <w:bookmarkEnd w:id="0"/>
    </w:p>
    <w:p w:rsidR="004218B0" w:rsidRPr="002125A7" w:rsidRDefault="004218B0" w:rsidP="004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1712B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>
        <w:rPr>
          <w:rFonts w:ascii="Times New Roman" w:hAnsi="Times New Roman" w:cs="Times New Roman"/>
          <w:sz w:val="24"/>
          <w:szCs w:val="24"/>
        </w:rPr>
        <w:t xml:space="preserve"> в населенном пункте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имеются инженерные сети водоснабжения и теплоснабжения; возможность подключения планируемого объекта к сетям инженерно-технического обеспечения (водоснабжения и теплоснабжения) имеется; для получения технических условий на присоединение объекта к инженерным сетям необходимо получение технических условий от Акционерного общества «Коми тепловая компания».   </w:t>
      </w:r>
    </w:p>
    <w:p w:rsidR="004218B0" w:rsidRPr="0040651C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40651C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</w:t>
      </w:r>
      <w:r>
        <w:rPr>
          <w:rFonts w:ascii="Times New Roman" w:hAnsi="Times New Roman" w:cs="Times New Roman"/>
          <w:sz w:val="24"/>
          <w:szCs w:val="24"/>
        </w:rPr>
        <w:t xml:space="preserve">37812,00 рублей (Тридцать семь тысяч восемьсот двенадцать </w:t>
      </w:r>
      <w:r w:rsidRPr="0040651C">
        <w:rPr>
          <w:rFonts w:ascii="Times New Roman" w:hAnsi="Times New Roman" w:cs="Times New Roman"/>
          <w:sz w:val="24"/>
          <w:szCs w:val="24"/>
        </w:rPr>
        <w:t>рублей 00 копеек) без учета НДС.</w:t>
      </w:r>
    </w:p>
    <w:p w:rsidR="004218B0" w:rsidRPr="0040651C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51C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40651C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40651C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</w:t>
      </w:r>
      <w:r>
        <w:rPr>
          <w:rFonts w:ascii="Times New Roman" w:hAnsi="Times New Roman" w:cs="Times New Roman"/>
          <w:sz w:val="24"/>
          <w:szCs w:val="24"/>
        </w:rPr>
        <w:t>1134</w:t>
      </w:r>
      <w:r w:rsidRPr="0040651C">
        <w:rPr>
          <w:rFonts w:ascii="Times New Roman" w:hAnsi="Times New Roman" w:cs="Times New Roman"/>
          <w:sz w:val="24"/>
          <w:szCs w:val="24"/>
        </w:rPr>
        <w:t>,00 рубл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0651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Одна тысяча сто тридцать четыре рубля</w:t>
      </w:r>
      <w:r w:rsidRPr="0040651C">
        <w:rPr>
          <w:rFonts w:ascii="Times New Roman" w:hAnsi="Times New Roman" w:cs="Times New Roman"/>
          <w:sz w:val="24"/>
          <w:szCs w:val="24"/>
        </w:rPr>
        <w:t xml:space="preserve"> 00 копеек) без учета НДС.  </w:t>
      </w:r>
    </w:p>
    <w:p w:rsidR="004218B0" w:rsidRDefault="004218B0" w:rsidP="004218B0">
      <w:pPr>
        <w:spacing w:after="1" w:line="240" w:lineRule="atLeast"/>
        <w:jc w:val="both"/>
        <w:rPr>
          <w:rFonts w:ascii="Times New Roman" w:hAnsi="Times New Roman" w:cs="Times New Roman"/>
          <w:b/>
          <w:sz w:val="24"/>
        </w:rPr>
      </w:pPr>
      <w:r w:rsidRPr="0040651C">
        <w:rPr>
          <w:rFonts w:ascii="Times New Roman" w:hAnsi="Times New Roman" w:cs="Times New Roman"/>
          <w:sz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</w:rPr>
        <w:t>Размер задатка</w:t>
      </w:r>
      <w:r w:rsidRPr="0040651C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>
        <w:rPr>
          <w:rFonts w:ascii="Times New Roman" w:hAnsi="Times New Roman" w:cs="Times New Roman"/>
          <w:sz w:val="24"/>
        </w:rPr>
        <w:t>7562</w:t>
      </w:r>
      <w:r w:rsidRPr="0040651C">
        <w:rPr>
          <w:rFonts w:ascii="Times New Roman" w:hAnsi="Times New Roman" w:cs="Times New Roman"/>
          <w:sz w:val="24"/>
        </w:rPr>
        <w:t>,00 рубл</w:t>
      </w:r>
      <w:r>
        <w:rPr>
          <w:rFonts w:ascii="Times New Roman" w:hAnsi="Times New Roman" w:cs="Times New Roman"/>
          <w:sz w:val="24"/>
        </w:rPr>
        <w:t>я</w:t>
      </w:r>
      <w:r w:rsidRPr="0040651C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Семь тысяч пятьсот шестьдесят два рубля</w:t>
      </w:r>
      <w:r w:rsidRPr="0040651C">
        <w:rPr>
          <w:rFonts w:ascii="Times New Roman" w:hAnsi="Times New Roman" w:cs="Times New Roman"/>
          <w:sz w:val="24"/>
        </w:rPr>
        <w:t xml:space="preserve"> 00 копеек) без учета НДС.</w:t>
      </w:r>
    </w:p>
    <w:p w:rsidR="004218B0" w:rsidRPr="0034386D" w:rsidRDefault="004218B0" w:rsidP="004218B0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:rsidR="004218B0" w:rsidRPr="00C8669D" w:rsidRDefault="004218B0" w:rsidP="004218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7881"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69D">
        <w:rPr>
          <w:rFonts w:ascii="Times New Roman" w:hAnsi="Times New Roman" w:cs="Times New Roman"/>
          <w:sz w:val="24"/>
          <w:szCs w:val="24"/>
        </w:rPr>
        <w:t>Земельны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C8669D">
        <w:rPr>
          <w:rFonts w:ascii="Times New Roman" w:hAnsi="Times New Roman" w:cs="Times New Roman"/>
          <w:sz w:val="24"/>
          <w:szCs w:val="24"/>
        </w:rPr>
        <w:t xml:space="preserve"> расположен</w:t>
      </w:r>
      <w:r>
        <w:rPr>
          <w:rFonts w:ascii="Times New Roman" w:hAnsi="Times New Roman" w:cs="Times New Roman"/>
          <w:sz w:val="24"/>
          <w:szCs w:val="24"/>
        </w:rPr>
        <w:t xml:space="preserve"> в территориальной зоне Ж-3А</w:t>
      </w:r>
      <w:r w:rsidRPr="00C8669D">
        <w:rPr>
          <w:rFonts w:ascii="Times New Roman" w:hAnsi="Times New Roman" w:cs="Times New Roman"/>
          <w:sz w:val="24"/>
          <w:szCs w:val="24"/>
        </w:rPr>
        <w:t xml:space="preserve"> (зона </w:t>
      </w:r>
      <w:r>
        <w:rPr>
          <w:rFonts w:ascii="Times New Roman" w:hAnsi="Times New Roman" w:cs="Times New Roman"/>
          <w:sz w:val="24"/>
          <w:szCs w:val="24"/>
        </w:rPr>
        <w:t xml:space="preserve">застройки малоэтажными многоквартирными жилыми домами (до 4 этажей включая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мансардный)/</w:t>
      </w:r>
      <w:proofErr w:type="gramEnd"/>
      <w:r>
        <w:rPr>
          <w:rFonts w:ascii="Times New Roman" w:hAnsi="Times New Roman" w:cs="Times New Roman"/>
          <w:sz w:val="24"/>
          <w:szCs w:val="24"/>
        </w:rPr>
        <w:t>проектная</w:t>
      </w:r>
      <w:r w:rsidRPr="00C8669D">
        <w:rPr>
          <w:rFonts w:ascii="Times New Roman" w:hAnsi="Times New Roman" w:cs="Times New Roman"/>
          <w:sz w:val="24"/>
          <w:szCs w:val="24"/>
        </w:rPr>
        <w:t>). Градостроительный регламент 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установлен в составе Правил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 w:rsidRPr="00C8669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218B0" w:rsidRPr="00C8669D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9888"/>
      </w:tblGrid>
      <w:tr w:rsidR="004218B0" w:rsidTr="009A53F9">
        <w:tc>
          <w:tcPr>
            <w:tcW w:w="9888" w:type="dxa"/>
            <w:hideMark/>
          </w:tcPr>
          <w:tbl>
            <w:tblPr>
              <w:tblW w:w="9888" w:type="dxa"/>
              <w:tblLayout w:type="fixed"/>
              <w:tblLook w:val="04A0" w:firstRow="1" w:lastRow="0" w:firstColumn="1" w:lastColumn="0" w:noHBand="0" w:noVBand="1"/>
            </w:tblPr>
            <w:tblGrid>
              <w:gridCol w:w="9888"/>
            </w:tblGrid>
            <w:tr w:rsidR="004218B0" w:rsidTr="009A53F9">
              <w:tc>
                <w:tcPr>
                  <w:tcW w:w="9888" w:type="dxa"/>
                  <w:hideMark/>
                </w:tcPr>
                <w:p w:rsidR="004218B0" w:rsidRDefault="004218B0" w:rsidP="009A53F9">
                  <w:pPr>
                    <w:tabs>
                      <w:tab w:val="center" w:pos="4836"/>
                    </w:tabs>
                    <w:spacing w:line="240" w:lineRule="auto"/>
                    <w:rPr>
                      <w:rFonts w:ascii="Times New Roman" w:hAnsi="Times New Roman"/>
                      <w:b/>
                      <w:bCs/>
                      <w:cap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</w:rPr>
                    <w:t>Ж-3/ Ж-3А. Малоэтажная многоквартирная жилая застройка/проектная.</w:t>
                  </w:r>
                </w:p>
                <w:tbl>
                  <w:tblPr>
                    <w:tblW w:w="9410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08"/>
                    <w:gridCol w:w="5812"/>
                    <w:gridCol w:w="850"/>
                    <w:gridCol w:w="2040"/>
                  </w:tblGrid>
                  <w:tr w:rsidR="004218B0" w:rsidTr="009A53F9">
                    <w:tc>
                      <w:tcPr>
                        <w:tcW w:w="941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 xml:space="preserve">   </w:t>
                        </w:r>
                        <w:r>
                          <w:rPr>
                            <w:rFonts w:ascii="Times New Roman" w:hAnsi="Times New Roman"/>
                            <w:spacing w:val="-4"/>
                          </w:rPr>
                  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 зоны Ж-3 и Ж-3А</w:t>
                        </w:r>
                      </w:p>
                    </w:tc>
                  </w:tr>
                  <w:tr w:rsidR="004218B0" w:rsidTr="009A53F9">
                    <w:trPr>
                      <w:trHeight w:val="495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t>1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Минимальные (максимальные) размеры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pacing w:val="-4"/>
                          </w:rPr>
                          <w:t>земельного  участка</w:t>
                        </w:r>
                        <w:proofErr w:type="gramEnd"/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56"/>
                          <w:jc w:val="center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t>ед.</w:t>
                        </w:r>
                      </w:p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изм.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Параметр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</w:tabs>
                          <w:autoSpaceDE w:val="0"/>
                          <w:autoSpaceDN w:val="0"/>
                          <w:adjustRightInd w:val="0"/>
                          <w:spacing w:before="120" w:after="120" w:line="240" w:lineRule="auto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многоквартирные дома: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кв.м.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before="120" w:after="120"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от 1000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магазины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га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от 0,0008 га на 1 кв.м торговой площади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объекты спорта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га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от 0,05 до 0,2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объекты коммунального обслуживания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га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от 0,1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объекты здравоохранения –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га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от 0,1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 объекты культуры –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га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от 0,</w:t>
                        </w: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03  до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 xml:space="preserve"> 1,0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объекты образования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га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0,</w:t>
                        </w: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03  до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 xml:space="preserve"> 5,0а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отдельно-стоящие индивидуальные гаражи, бани и пр.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га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от 0,0050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t>2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Отступы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ед. изм.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параметр</w:t>
                        </w:r>
                      </w:p>
                    </w:tc>
                  </w:tr>
                  <w:tr w:rsidR="004218B0" w:rsidTr="009A53F9">
                    <w:trPr>
                      <w:trHeight w:val="30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t>2.1</w:t>
                        </w:r>
                      </w:p>
                    </w:tc>
                    <w:tc>
                      <w:tcPr>
                        <w:tcW w:w="870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Отступы  от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 xml:space="preserve"> границ земельного участка: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</w:tabs>
                          <w:autoSpaceDE w:val="0"/>
                          <w:autoSpaceDN w:val="0"/>
                          <w:adjustRightInd w:val="0"/>
                          <w:spacing w:before="120" w:line="240" w:lineRule="auto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- объекта от красной линии улиц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не менее 5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</w:tabs>
                          <w:autoSpaceDE w:val="0"/>
                          <w:autoSpaceDN w:val="0"/>
                          <w:adjustRightInd w:val="0"/>
                          <w:spacing w:before="120" w:line="240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- объекта от красной линии проездов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не менее 3</w:t>
                        </w:r>
                      </w:p>
                    </w:tc>
                  </w:tr>
                  <w:tr w:rsidR="004218B0" w:rsidTr="009A53F9">
                    <w:trPr>
                      <w:trHeight w:val="647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</w:tabs>
                          <w:autoSpaceDE w:val="0"/>
                          <w:autoSpaceDN w:val="0"/>
                          <w:adjustRightInd w:val="0"/>
                          <w:spacing w:before="120" w:line="240" w:lineRule="auto"/>
                          <w:rPr>
                            <w:rFonts w:ascii="Times New Roman" w:hAnsi="Times New Roman"/>
                            <w:spacing w:val="-4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- </w:t>
                        </w:r>
                        <w:r>
                          <w:rPr>
                            <w:rFonts w:ascii="Times New Roman" w:hAnsi="Times New Roman"/>
                          </w:rPr>
                          <w:t>для участков сложившейся застройки отступ.</w:t>
                        </w:r>
                      </w:p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34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в соответствии с линией застройки</w:t>
                        </w:r>
                      </w:p>
                    </w:tc>
                  </w:tr>
                  <w:tr w:rsidR="004218B0" w:rsidTr="009A53F9">
                    <w:trPr>
                      <w:trHeight w:val="20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hAnsi="Times New Roman"/>
                            <w:spacing w:val="-4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- от границы земельного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pacing w:val="-4"/>
                          </w:rPr>
                          <w:t>участка ,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 к которому примыкает земельный участок, не предназначенный для улично-дорожной сети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не мене 3</w:t>
                        </w:r>
                      </w:p>
                    </w:tc>
                  </w:tr>
                  <w:tr w:rsidR="004218B0" w:rsidTr="009A53F9">
                    <w:trPr>
                      <w:trHeight w:val="283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t>2.2</w:t>
                        </w:r>
                      </w:p>
                    </w:tc>
                    <w:tc>
                      <w:tcPr>
                        <w:tcW w:w="870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Отступы от границ земельного участка по санитарным нормам:</w:t>
                        </w:r>
                      </w:p>
                    </w:tc>
                  </w:tr>
                  <w:tr w:rsidR="004218B0" w:rsidTr="009A53F9">
                    <w:trPr>
                      <w:trHeight w:val="454"/>
                    </w:trPr>
                    <w:tc>
                      <w:tcPr>
                        <w:tcW w:w="7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-108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-108" w:firstLine="108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- до одноквартирного жилого дома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с учетом требований п. </w:t>
                        </w:r>
                        <w:r>
                          <w:rPr>
                            <w:rFonts w:ascii="Times New Roman" w:hAnsi="Times New Roman"/>
                          </w:rPr>
                          <w:lastRenderedPageBreak/>
                          <w:t>4.1.5 СП 30-102-99;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lastRenderedPageBreak/>
                          <w:t>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>не мене 3 м</w:t>
                        </w:r>
                      </w:p>
                    </w:tc>
                  </w:tr>
                  <w:tr w:rsidR="004218B0" w:rsidTr="009A53F9">
                    <w:trPr>
                      <w:trHeight w:val="227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-108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-108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ab/>
                          <w:t xml:space="preserve">- до построек для содержания скота и птицы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jc w:val="center"/>
                          <w:rPr>
                            <w:rFonts w:ascii="Times New Roman" w:hAnsi="Times New Roman"/>
                            <w:spacing w:val="-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>не менее 4</w:t>
                        </w:r>
                      </w:p>
                    </w:tc>
                  </w:tr>
                  <w:tr w:rsidR="004218B0" w:rsidTr="009A53F9">
                    <w:trPr>
                      <w:trHeight w:val="283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-108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-108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 - до других построек (бани, гаража и др.)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jc w:val="center"/>
                          <w:rPr>
                            <w:rFonts w:ascii="Times New Roman" w:hAnsi="Times New Roman"/>
                            <w:spacing w:val="-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>не менее 1 м</w:t>
                        </w:r>
                      </w:p>
                    </w:tc>
                  </w:tr>
                  <w:tr w:rsidR="004218B0" w:rsidTr="009A53F9">
                    <w:trPr>
                      <w:trHeight w:val="794"/>
                    </w:trPr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-108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-108"/>
                          <w:rPr>
                            <w:rFonts w:ascii="Times New Roman" w:hAnsi="Times New Roman"/>
                            <w:spacing w:val="-4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 - до стволов высокорослых деревьев</w:t>
                        </w:r>
                      </w:p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-108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-108"/>
                          <w:rPr>
                            <w:rFonts w:ascii="Times New Roman" w:hAnsi="Times New Roman"/>
                            <w:spacing w:val="-4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 - до стволов среднерослых деревьев</w:t>
                        </w:r>
                      </w:p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-108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ind w:left="-108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 - до кус</w:t>
                        </w:r>
                        <w:r>
                          <w:rPr>
                            <w:rFonts w:ascii="Times New Roman" w:hAnsi="Times New Roman"/>
                            <w:spacing w:val="-4"/>
                          </w:rPr>
                          <w:softHyphen/>
                          <w:t xml:space="preserve">тарника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м.</w:t>
                        </w:r>
                      </w:p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м.</w:t>
                        </w:r>
                      </w:p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spacing w:val="-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- не менее 4 </w:t>
                        </w:r>
                      </w:p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spacing w:val="-4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-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pacing w:val="-4"/>
                          </w:rPr>
                          <w:t>не  менее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 2</w:t>
                        </w:r>
                      </w:p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 xml:space="preserve">- не менее 1 </w:t>
                        </w:r>
                      </w:p>
                    </w:tc>
                  </w:tr>
                  <w:tr w:rsidR="004218B0" w:rsidTr="009A53F9">
                    <w:trPr>
                      <w:trHeight w:val="737"/>
                    </w:trPr>
                    <w:tc>
                      <w:tcPr>
                        <w:tcW w:w="708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hAnsi="Times New Roman"/>
                            <w:spacing w:val="-4"/>
                            <w:lang w:eastAsia="ru-RU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pacing w:val="-4"/>
                          </w:rPr>
                          <w:t xml:space="preserve">Расстояние от окон жилых комнат до стен соседнего дома, расположенных на соседних земельных участках, должно быть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pacing w:val="-4"/>
                          </w:rPr>
                          <w:t>не менее 6</w:t>
                        </w:r>
                      </w:p>
                    </w:tc>
                  </w:tr>
                  <w:tr w:rsidR="004218B0" w:rsidTr="009A53F9">
                    <w:trPr>
                      <w:trHeight w:val="510"/>
                    </w:trPr>
                    <w:tc>
                      <w:tcPr>
                        <w:tcW w:w="70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  <w:tab w:val="left" w:pos="1134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hAnsi="Times New Roman"/>
                            <w:spacing w:val="-4"/>
                            <w:lang w:eastAsia="ru-RU"/>
                          </w:rPr>
                        </w:pPr>
                        <w:r>
                          <w:rPr>
                            <w:rFonts w:ascii="Times New Roman" w:eastAsia="Calibri" w:hAnsi="Times New Roman"/>
                          </w:rPr>
                          <w:t xml:space="preserve">Расстояние от окон жилого здания до хозяйственных построек, расположенных на соседнем участке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  <w:tab w:val="left" w:pos="1134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jc w:val="center"/>
                          <w:rPr>
                            <w:rFonts w:ascii="Times New Roman" w:eastAsia="Calibri" w:hAnsi="Times New Roman"/>
                            <w:spacing w:val="-4"/>
                          </w:rPr>
                        </w:pPr>
                        <w:r>
                          <w:rPr>
                            <w:rFonts w:ascii="Times New Roman" w:eastAsia="Calibri" w:hAnsi="Times New Roman"/>
                          </w:rPr>
                          <w:t>не менее 10.</w:t>
                        </w:r>
                      </w:p>
                    </w:tc>
                  </w:tr>
                  <w:tr w:rsidR="004218B0" w:rsidTr="009A53F9">
                    <w:trPr>
                      <w:trHeight w:val="283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jc w:val="center"/>
                          <w:rPr>
                            <w:rFonts w:ascii="Times New Roman" w:eastAsia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t>2.3</w:t>
                        </w:r>
                      </w:p>
                    </w:tc>
                    <w:tc>
                      <w:tcPr>
                        <w:tcW w:w="870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</w:rPr>
                          <w:t>Вспомогательные строения размещать со стороны улицы не допускается</w:t>
                        </w:r>
                      </w:p>
                    </w:tc>
                  </w:tr>
                  <w:tr w:rsidR="004218B0" w:rsidTr="009A53F9">
                    <w:trPr>
                      <w:trHeight w:val="227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t>3.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  <w:tab w:val="left" w:pos="1134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eastAsia="Calibri" w:hAnsi="Times New Roman"/>
                            <w:spacing w:val="-4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pacing w:val="-4"/>
                          </w:rPr>
                          <w:t>Предельное количество этажей зданий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eastAsia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ед. изм.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параметр</w:t>
                        </w:r>
                      </w:p>
                    </w:tc>
                  </w:tr>
                  <w:tr w:rsidR="004218B0" w:rsidTr="009A53F9">
                    <w:trPr>
                      <w:trHeight w:val="352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  <w:tab w:val="left" w:pos="1134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eastAsia="Calibri" w:hAnsi="Times New Roman"/>
                            <w:spacing w:val="-4"/>
                          </w:rPr>
                        </w:pPr>
                        <w:r>
                          <w:rPr>
                            <w:rFonts w:ascii="Times New Roman" w:eastAsia="Calibri" w:hAnsi="Times New Roman"/>
                          </w:rPr>
                          <w:t>для всех основных строений количество надземных этажей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eastAsia="Times New Roman" w:hAnsi="Times New Roman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lang w:eastAsia="ar-SA"/>
                          </w:rPr>
                          <w:t>этаж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</w:tr>
                  <w:tr w:rsidR="004218B0" w:rsidTr="009A53F9">
                    <w:trPr>
                      <w:trHeight w:val="276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t>4.</w:t>
                        </w:r>
                      </w:p>
                    </w:tc>
                    <w:tc>
                      <w:tcPr>
                        <w:tcW w:w="870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spacing w:line="240" w:lineRule="auto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eastAsia="Calibri" w:hAnsi="Times New Roman"/>
                          </w:rPr>
                          <w:t>Минимальные расстояния от объектов капитального строительства</w:t>
                        </w:r>
                      </w:p>
                    </w:tc>
                  </w:tr>
                  <w:tr w:rsidR="004218B0" w:rsidTr="009A53F9">
                    <w:trPr>
                      <w:trHeight w:val="1380"/>
                    </w:trPr>
                    <w:tc>
                      <w:tcPr>
                        <w:tcW w:w="70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870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4218B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46"/>
                          </w:tabs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Минимальное расстояние от стен детских дошкольных учреждений и общеобразовательных школ до красных линий - 25 м;</w:t>
                        </w:r>
                      </w:p>
                      <w:p w:rsidR="004218B0" w:rsidRDefault="004218B0" w:rsidP="004218B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46"/>
                          </w:tabs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Минимальное расстояние между длинными сторонами жилых зданий высотой 2-3 этажа - 15 м;</w:t>
                        </w:r>
                      </w:p>
                      <w:p w:rsidR="004218B0" w:rsidRDefault="004218B0" w:rsidP="004218B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46"/>
                          </w:tabs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Минимальное расстояние между длинными сторонами жилых зданий высотой 2-4 этажа и торцами таких зданий с окнами из жилых комнат - 10 м;</w:t>
                        </w:r>
                      </w:p>
                      <w:p w:rsidR="004218B0" w:rsidRDefault="004218B0" w:rsidP="004218B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46"/>
                          </w:tabs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Минимальная глубина заднего двора (для 2-3 –этажных зданий и 2,5 м дополнительно для 4-этажных зданий) - 7,5 м</w:t>
                        </w:r>
                      </w:p>
                      <w:p w:rsidR="004218B0" w:rsidRDefault="004218B0" w:rsidP="004218B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46"/>
                          </w:tabs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Минимальная ширина бокового двора (для 2-3 –этажных зданий и 0,5 м дополнительно для 4-этажных зданий) 4 м;</w:t>
                        </w:r>
                      </w:p>
                      <w:p w:rsidR="004218B0" w:rsidRDefault="004218B0" w:rsidP="004218B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46"/>
                          </w:tabs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Минимальная суммарная ширина боковых дворов - 8 м;</w:t>
                        </w:r>
                      </w:p>
                      <w:p w:rsidR="004218B0" w:rsidRDefault="004218B0" w:rsidP="004218B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46"/>
                          </w:tabs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Минимальные разрывы между стенами зданий без окон из жилых комнат - 6 м;</w:t>
                        </w:r>
                      </w:p>
                      <w:p w:rsidR="004218B0" w:rsidRDefault="004218B0" w:rsidP="004218B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46"/>
                          </w:tabs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Минимальное расстояние между жилыми, общественными и вспомогательными зданиями промышленных предприятий I и II степени огнестойкости - 6 м;</w:t>
                        </w:r>
                      </w:p>
                      <w:p w:rsidR="004218B0" w:rsidRDefault="004218B0" w:rsidP="004218B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46"/>
                          </w:tabs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Минимальное расстояние между жилыми, общественными и вспомогательными зданиями промышленных предприятий I, II, III степени огнестойкости и зданиями III степени огнестойкости - 8 м;</w:t>
                        </w:r>
                      </w:p>
                    </w:tc>
                  </w:tr>
                  <w:tr w:rsidR="004218B0" w:rsidTr="009A53F9"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  <w:tab w:val="left" w:pos="1134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jc w:val="center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t>5.</w:t>
                        </w:r>
                      </w:p>
                    </w:tc>
                    <w:tc>
                      <w:tcPr>
                        <w:tcW w:w="870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  <w:tab w:val="left" w:pos="1134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eastAsia="Calibri" w:hAnsi="Times New Roman"/>
                            <w:spacing w:val="-4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pacing w:val="-4"/>
                          </w:rPr>
                          <w:t>Требования к ограждению земельных участков:</w:t>
                        </w:r>
                      </w:p>
                    </w:tc>
                  </w:tr>
                  <w:tr w:rsidR="004218B0" w:rsidTr="009A53F9">
                    <w:trPr>
                      <w:trHeight w:val="2551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rPr>
                            <w:rFonts w:ascii="Times New Roman" w:eastAsia="Times New Roman" w:hAnsi="Times New Roman"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870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tabs>
                            <w:tab w:val="left" w:pos="1134"/>
                            <w:tab w:val="left" w:pos="14821"/>
                          </w:tabs>
                          <w:spacing w:line="240" w:lineRule="auto"/>
                          <w:rPr>
                            <w:rFonts w:ascii="Times New Roman" w:hAnsi="Times New Roman"/>
                            <w:lang w:eastAsia="ru-RU"/>
                          </w:rPr>
                        </w:pPr>
                        <w:r>
                          <w:rPr>
                            <w:rFonts w:ascii="Times New Roman" w:eastAsia="Calibri" w:hAnsi="Times New Roman"/>
                          </w:rPr>
                          <w:t>- со стороны улиц ограждение должно быть прозрачным (решетчатым, сетчатым, не глухим);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не допускается сплошное ограждение высотой более 1,5 метра со стороны улиц;</w:t>
                        </w:r>
                      </w:p>
                      <w:p w:rsidR="004218B0" w:rsidRDefault="004218B0" w:rsidP="009A53F9">
                        <w:pPr>
                          <w:tabs>
                            <w:tab w:val="left" w:pos="1134"/>
                            <w:tab w:val="left" w:pos="14821"/>
                          </w:tabs>
                          <w:spacing w:line="240" w:lineRule="auto"/>
                          <w:rPr>
                            <w:rFonts w:ascii="Times New Roman" w:eastAsia="Calibri" w:hAnsi="Times New Roman"/>
                          </w:rPr>
                        </w:pPr>
                        <w:r>
                          <w:rPr>
                            <w:rFonts w:ascii="Times New Roman" w:eastAsia="Calibri" w:hAnsi="Times New Roman"/>
                          </w:rPr>
                          <w:t xml:space="preserve">- характер ограждения со стороны </w:t>
                        </w:r>
                        <w:proofErr w:type="gramStart"/>
                        <w:r>
                          <w:rPr>
                            <w:rFonts w:ascii="Times New Roman" w:eastAsia="Calibri" w:hAnsi="Times New Roman"/>
                          </w:rPr>
                          <w:t>проезжей части</w:t>
                        </w:r>
                        <w:proofErr w:type="gramEnd"/>
                        <w:r>
                          <w:rPr>
                            <w:rFonts w:ascii="Times New Roman" w:eastAsia="Calibri" w:hAnsi="Times New Roman"/>
                          </w:rPr>
                          <w:t xml:space="preserve"> и его высота должны быть единообразны на протяжении одного квартала с обеих сторон улицы;</w:t>
                        </w:r>
                      </w:p>
                      <w:p w:rsidR="004218B0" w:rsidRDefault="004218B0" w:rsidP="009A53F9">
                        <w:pPr>
                          <w:tabs>
                            <w:tab w:val="left" w:pos="1134"/>
                            <w:tab w:val="left" w:pos="14821"/>
                          </w:tabs>
                          <w:spacing w:line="240" w:lineRule="auto"/>
                          <w:rPr>
                            <w:rFonts w:ascii="Times New Roman" w:eastAsia="Calibri" w:hAnsi="Times New Roman"/>
                          </w:rPr>
                        </w:pPr>
                        <w:r>
                          <w:rPr>
                            <w:rFonts w:ascii="Times New Roman" w:eastAsia="Calibri" w:hAnsi="Times New Roman"/>
                          </w:rPr>
                          <w:t>- высота ограждения – не более 2 м;</w:t>
                        </w:r>
                      </w:p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  <w:tab w:val="left" w:pos="1134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eastAsia="Calibri" w:hAnsi="Times New Roman"/>
                          </w:rPr>
                        </w:pPr>
                        <w:r>
                          <w:rPr>
                            <w:rFonts w:ascii="Times New Roman" w:eastAsia="Calibri" w:hAnsi="Times New Roman"/>
                          </w:rPr>
                          <w:t>- 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            </w:r>
                      </w:p>
                      <w:p w:rsidR="004218B0" w:rsidRDefault="004218B0" w:rsidP="009A53F9">
                        <w:pPr>
                          <w:widowControl w:val="0"/>
                          <w:shd w:val="clear" w:color="auto" w:fill="FFFFFF"/>
                          <w:tabs>
                            <w:tab w:val="left" w:pos="547"/>
                            <w:tab w:val="left" w:pos="1134"/>
                          </w:tabs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eastAsia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eastAsia="Calibri" w:hAnsi="Times New Roman"/>
                          </w:rPr>
                          <w:t>Размещение вспомогательных строений со стороны главной улицы не допускается, за исключением гаражей</w:t>
                        </w:r>
                      </w:p>
                    </w:tc>
                  </w:tr>
                  <w:tr w:rsidR="004218B0" w:rsidTr="009A53F9"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34"/>
                          <w:jc w:val="center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lastRenderedPageBreak/>
                          <w:t>6.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408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t>Максимальный процент застройки земельного участка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ind w:left="56"/>
                          <w:jc w:val="center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  <w:t>%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4218B0" w:rsidRDefault="004218B0" w:rsidP="009A53F9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hAnsi="Times New Roman"/>
                            <w:kern w:val="2"/>
                            <w:lang w:eastAsia="ar-SA"/>
                          </w:rPr>
                        </w:pPr>
                        <w:r>
                          <w:rPr>
                            <w:rFonts w:ascii="Times New Roman" w:eastAsia="Calibri" w:hAnsi="Times New Roman"/>
                          </w:rPr>
                          <w:t>40%</w:t>
                        </w:r>
                      </w:p>
                    </w:tc>
                  </w:tr>
                </w:tbl>
                <w:p w:rsidR="004218B0" w:rsidRDefault="004218B0" w:rsidP="009A53F9">
                  <w:pPr>
                    <w:spacing w:line="240" w:lineRule="auto"/>
                    <w:ind w:left="1080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:rsidR="004218B0" w:rsidRDefault="004218B0" w:rsidP="009A53F9">
            <w:pPr>
              <w:rPr>
                <w:rFonts w:ascii="Arial" w:hAnsi="Arial"/>
                <w:sz w:val="24"/>
                <w:szCs w:val="20"/>
              </w:rPr>
            </w:pPr>
          </w:p>
          <w:p w:rsidR="004218B0" w:rsidRDefault="004218B0" w:rsidP="009A53F9">
            <w:pPr>
              <w:spacing w:after="1" w:line="240" w:lineRule="atLeast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4218B0" w:rsidRPr="00684C95" w:rsidRDefault="004218B0" w:rsidP="009A53F9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B569D">
              <w:rPr>
                <w:rFonts w:ascii="Times New Roman" w:hAnsi="Times New Roman" w:cs="Times New Roman"/>
                <w:b/>
                <w:sz w:val="24"/>
              </w:rPr>
              <w:t>Лот 2</w:t>
            </w:r>
            <w:r w:rsidRPr="00684C95">
              <w:rPr>
                <w:rFonts w:ascii="Times New Roman" w:hAnsi="Times New Roman" w:cs="Times New Roman"/>
                <w:sz w:val="24"/>
              </w:rPr>
              <w:t xml:space="preserve"> – земельный участок.</w:t>
            </w:r>
          </w:p>
          <w:p w:rsidR="004218B0" w:rsidRPr="00680B86" w:rsidRDefault="004218B0" w:rsidP="009A5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C9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C6EC9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земельного участка:</w:t>
            </w: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 Коми,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Корткеросский район</w:t>
            </w: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Корткерос, ул. Первомайская, 6</w:t>
            </w: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8B0" w:rsidRPr="00680B86" w:rsidRDefault="004218B0" w:rsidP="009A5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C6EC9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земельного участка:</w:t>
            </w: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969</w:t>
            </w: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</w:p>
          <w:p w:rsidR="004218B0" w:rsidRPr="00680B86" w:rsidRDefault="004218B0" w:rsidP="009A5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C6EC9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номер:</w:t>
            </w: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 11:06: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3901018:76</w:t>
            </w: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8B0" w:rsidRPr="00680B86" w:rsidRDefault="004218B0" w:rsidP="009A5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C6EC9">
              <w:rPr>
                <w:rFonts w:ascii="Times New Roman" w:hAnsi="Times New Roman" w:cs="Times New Roman"/>
                <w:b/>
                <w:sz w:val="24"/>
                <w:szCs w:val="24"/>
              </w:rPr>
              <w:t>Право на земельный участок:</w:t>
            </w: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государственная собственность не разграничена. </w:t>
            </w:r>
          </w:p>
          <w:p w:rsidR="004218B0" w:rsidRPr="00680B86" w:rsidRDefault="004218B0" w:rsidP="009A5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C6EC9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Разрешенное использование земельного участка: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застройки</w:t>
            </w: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218B0" w:rsidRPr="00680B86" w:rsidRDefault="004218B0" w:rsidP="009A5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C6EC9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земель:</w:t>
            </w:r>
            <w:r w:rsidRPr="00680B86">
              <w:rPr>
                <w:rFonts w:ascii="Times New Roman" w:hAnsi="Times New Roman" w:cs="Times New Roman"/>
                <w:sz w:val="24"/>
                <w:szCs w:val="24"/>
              </w:rPr>
              <w:t xml:space="preserve"> земли населенных пунктов.</w:t>
            </w:r>
          </w:p>
          <w:p w:rsidR="004218B0" w:rsidRDefault="004218B0" w:rsidP="009A53F9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B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FE79CA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земельного участка:</w:t>
            </w:r>
            <w:r w:rsidRPr="00FE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18B0" w:rsidRPr="00C7134F" w:rsidRDefault="004218B0" w:rsidP="009A53F9">
            <w:pPr>
              <w:spacing w:after="1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34F">
              <w:rPr>
                <w:rFonts w:ascii="Times New Roman" w:hAnsi="Times New Roman"/>
                <w:sz w:val="24"/>
                <w:szCs w:val="24"/>
              </w:rPr>
              <w:t xml:space="preserve">соблюдение охранной зоны линейных объектов (по 2 метра в каждую сторону от проводов ВЛ-0,4 </w:t>
            </w:r>
            <w:proofErr w:type="spellStart"/>
            <w:r w:rsidRPr="00C7134F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C7134F">
              <w:rPr>
                <w:rFonts w:ascii="Times New Roman" w:hAnsi="Times New Roman"/>
                <w:sz w:val="24"/>
                <w:szCs w:val="24"/>
              </w:rPr>
              <w:t xml:space="preserve">, линии связи). Обеспечить допуск представителей собственников линейных объектов или представителей организации, осуществляющей эксплуатацию линейных объектов, к данным объектам в целях обеспечения их безопасности. </w:t>
            </w:r>
          </w:p>
          <w:p w:rsidR="004218B0" w:rsidRDefault="004218B0" w:rsidP="009A5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населенном пункте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Корткерос  имеются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инженерные сети централизованного водоснабжения, водоотведения, теплоснабжения; возможность подключения планируемого объекта к сетям инженерно-технического обеспечения (водоснабжения и канализации) имеется. Администрацией муниципального района «Корткеросский» получены технические условия подключения (технологического присоединения) к централизованной системе водоотведения и централизованной системе холодного водоснабжения. Копии технических условий приложены к извещению. </w:t>
            </w:r>
          </w:p>
          <w:p w:rsidR="004218B0" w:rsidRPr="00684C95" w:rsidRDefault="004218B0" w:rsidP="009A5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684C9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предмета аукциона</w:t>
            </w:r>
            <w:r w:rsidRPr="00684C95">
              <w:rPr>
                <w:rFonts w:ascii="Times New Roman" w:hAnsi="Times New Roman" w:cs="Times New Roman"/>
                <w:sz w:val="24"/>
                <w:szCs w:val="24"/>
              </w:rPr>
              <w:t xml:space="preserve"> (размер ежегодной арендной платы):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250855</w:t>
            </w:r>
            <w:r w:rsidRPr="00684C95">
              <w:rPr>
                <w:rFonts w:ascii="Times New Roman" w:hAnsi="Times New Roman" w:cs="Times New Roman"/>
                <w:sz w:val="24"/>
                <w:szCs w:val="24"/>
              </w:rPr>
              <w:t>,00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684C9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Двести пятьдесят тысяч восемьсот пятьдесят пять рублей</w:t>
            </w:r>
            <w:r w:rsidRPr="00684C95">
              <w:rPr>
                <w:rFonts w:ascii="Times New Roman" w:hAnsi="Times New Roman" w:cs="Times New Roman"/>
                <w:sz w:val="24"/>
                <w:szCs w:val="24"/>
              </w:rPr>
              <w:t xml:space="preserve"> 00 копеек) без учета НДС.</w:t>
            </w:r>
          </w:p>
          <w:p w:rsidR="004218B0" w:rsidRPr="00684C95" w:rsidRDefault="004218B0" w:rsidP="009A5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C9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84C95">
              <w:rPr>
                <w:rFonts w:ascii="Times New Roman" w:hAnsi="Times New Roman" w:cs="Times New Roman"/>
                <w:b/>
                <w:sz w:val="24"/>
                <w:szCs w:val="24"/>
              </w:rPr>
              <w:t>Шаг аукциона</w:t>
            </w:r>
            <w:r w:rsidRPr="00684C95">
              <w:rPr>
                <w:rFonts w:ascii="Times New Roman" w:hAnsi="Times New Roman" w:cs="Times New Roman"/>
                <w:sz w:val="24"/>
                <w:szCs w:val="24"/>
              </w:rPr>
              <w:t xml:space="preserve"> (3% от начальной цены предмета аукциона):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7525</w:t>
            </w:r>
            <w:r w:rsidRPr="00684C95">
              <w:rPr>
                <w:rFonts w:ascii="Times New Roman" w:hAnsi="Times New Roman" w:cs="Times New Roman"/>
                <w:sz w:val="24"/>
                <w:szCs w:val="24"/>
              </w:rPr>
              <w:t>,00 рублей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 тысяч пятьсот двадцать пять рублей 00</w:t>
            </w:r>
            <w:r w:rsidRPr="00684C95">
              <w:rPr>
                <w:rFonts w:ascii="Times New Roman" w:hAnsi="Times New Roman" w:cs="Times New Roman"/>
                <w:sz w:val="24"/>
                <w:szCs w:val="24"/>
              </w:rPr>
              <w:t xml:space="preserve"> копеек) без учета НДС.  </w:t>
            </w:r>
          </w:p>
          <w:p w:rsidR="004218B0" w:rsidRPr="00684C95" w:rsidRDefault="004218B0" w:rsidP="009A53F9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684C95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684C95">
              <w:rPr>
                <w:rFonts w:ascii="Times New Roman" w:hAnsi="Times New Roman" w:cs="Times New Roman"/>
                <w:b/>
                <w:sz w:val="24"/>
              </w:rPr>
              <w:t>Размер задатка</w:t>
            </w:r>
            <w:r w:rsidRPr="00684C95">
              <w:rPr>
                <w:rFonts w:ascii="Times New Roman" w:hAnsi="Times New Roman" w:cs="Times New Roman"/>
                <w:sz w:val="24"/>
              </w:rPr>
              <w:t xml:space="preserve"> (20 % от начальной цены предмета аукциона):</w:t>
            </w:r>
            <w:r>
              <w:rPr>
                <w:rFonts w:ascii="Times New Roman" w:hAnsi="Times New Roman" w:cs="Times New Roman"/>
                <w:sz w:val="24"/>
              </w:rPr>
              <w:t xml:space="preserve"> 50171</w:t>
            </w:r>
            <w:r w:rsidRPr="00684C95">
              <w:rPr>
                <w:rFonts w:ascii="Times New Roman" w:hAnsi="Times New Roman" w:cs="Times New Roman"/>
                <w:sz w:val="24"/>
              </w:rPr>
              <w:t>,00 руб</w:t>
            </w:r>
            <w:r>
              <w:rPr>
                <w:rFonts w:ascii="Times New Roman" w:hAnsi="Times New Roman" w:cs="Times New Roman"/>
                <w:sz w:val="24"/>
              </w:rPr>
              <w:t>ль</w:t>
            </w:r>
            <w:r w:rsidRPr="00684C95">
              <w:rPr>
                <w:rFonts w:ascii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</w:rPr>
              <w:t>Пятьдесят тысяч сто семьдесят один рубль</w:t>
            </w:r>
            <w:r w:rsidRPr="00684C95">
              <w:rPr>
                <w:rFonts w:ascii="Times New Roman" w:hAnsi="Times New Roman" w:cs="Times New Roman"/>
                <w:sz w:val="24"/>
              </w:rPr>
              <w:t xml:space="preserve"> 00 копеек) без учета НДС.</w:t>
            </w:r>
          </w:p>
          <w:p w:rsidR="004218B0" w:rsidRDefault="004218B0" w:rsidP="009A5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18B0" w:rsidRPr="00C8669D" w:rsidRDefault="004218B0" w:rsidP="009A5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88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и (или) минимально допустимые параметры разрешенного строительства объекта капитального строительства:</w:t>
            </w:r>
          </w:p>
          <w:p w:rsidR="004218B0" w:rsidRDefault="004218B0" w:rsidP="009A5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8669D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8669D">
              <w:rPr>
                <w:rFonts w:ascii="Times New Roman" w:hAnsi="Times New Roman" w:cs="Times New Roman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8669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территориальной зоне Ж-2</w:t>
            </w:r>
            <w:r w:rsidRPr="00C866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Зона застройки средне- и малоэтажными жилыми домами</w:t>
            </w:r>
            <w:r w:rsidRPr="00C8669D">
              <w:rPr>
                <w:rFonts w:ascii="Times New Roman" w:hAnsi="Times New Roman" w:cs="Times New Roman"/>
                <w:sz w:val="24"/>
                <w:szCs w:val="24"/>
              </w:rPr>
              <w:t>). Градостроительный регламент земельн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8669D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8669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 в составе Правил землепользования и застройки муниципального образования сельского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Корткерос</w:t>
            </w:r>
            <w:r w:rsidRPr="00C8669D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4218B0" w:rsidRDefault="004218B0" w:rsidP="009A53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218B0" w:rsidRPr="00CB6505" w:rsidRDefault="004218B0" w:rsidP="009A53F9">
            <w:pPr>
              <w:spacing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505">
              <w:rPr>
                <w:rFonts w:ascii="Times New Roman" w:hAnsi="Times New Roman" w:cs="Times New Roman"/>
                <w:bCs/>
                <w:sz w:val="24"/>
                <w:szCs w:val="24"/>
              </w:rPr>
              <w:t>Ж-2.  ЗОНА ЗАСТРОЙКИ СРЕДНЕ-И МАЛОЭТАЖНЫМИ ЖИЛЫМИ ДОМАМИ</w:t>
            </w:r>
          </w:p>
          <w:p w:rsidR="004218B0" w:rsidRDefault="004218B0" w:rsidP="009A53F9">
            <w:pPr>
              <w:spacing w:after="12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Параметры разрешенного строительного изменения объектов недвижимости</w:t>
            </w:r>
          </w:p>
          <w:p w:rsidR="004218B0" w:rsidRDefault="004218B0" w:rsidP="009A53F9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параметрам сооружений и границам земельных участков в соответствии со следующими документами:</w:t>
            </w:r>
          </w:p>
          <w:p w:rsidR="004218B0" w:rsidRDefault="004218B0" w:rsidP="004218B0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hanging="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 42.13330.2011 «Градостроительство. Планировка и застройка городских и сельских поселений»; </w:t>
            </w:r>
          </w:p>
          <w:p w:rsidR="004218B0" w:rsidRDefault="004218B0" w:rsidP="004218B0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hanging="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 54.13330.2011. Свод правил. Здания жилые многоквартирные. Актуализированная редакция СНиП 31-01-2003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18B0" w:rsidRDefault="004218B0" w:rsidP="009A53F9">
            <w:pPr>
              <w:tabs>
                <w:tab w:val="left" w:pos="851"/>
              </w:tabs>
              <w:spacing w:after="120" w:line="240" w:lineRule="auto"/>
              <w:ind w:left="709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другие действующие нормативы и технические регламенты.</w:t>
            </w:r>
          </w:p>
          <w:tbl>
            <w:tblPr>
              <w:tblW w:w="100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71"/>
              <w:gridCol w:w="7306"/>
              <w:gridCol w:w="868"/>
              <w:gridCol w:w="887"/>
              <w:gridCol w:w="287"/>
            </w:tblGrid>
            <w:tr w:rsidR="004218B0" w:rsidTr="009A53F9">
              <w:trPr>
                <w:gridAfter w:val="1"/>
                <w:wAfter w:w="287" w:type="dxa"/>
                <w:trHeight w:val="128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Минимальное расстояние от жилого дома до красной линии улиц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128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Минимальное расстояние от жилого дома до красной линии проездов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128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Минимальное расстояние от объекта капитального строительства, не являющегося жилым зданием до красной линии улиц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128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Минимальное расстояние от объекта капитального строительства, не являющегося жилым зданием до границ соседнего участка и красной линии проездов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128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Минимальное расстояние от границы участка до жилого дома, гаража (размещаемого на территории жилой застройки), других строений, сооружений, за исключением: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281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5.1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совпадении границы участка с красной линией улицы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856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5.2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совпадении границы участка с красной линией земельного участка, на котором расположен водопровод, напорная канализация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1714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5.3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совпадении границы участка с красной линией земельного участка, на котором расположены тепловые сети:</w:t>
                  </w:r>
                </w:p>
                <w:p w:rsidR="004218B0" w:rsidRDefault="004218B0" w:rsidP="009A53F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от оболочки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бесканальной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прокладки</w:t>
                  </w:r>
                </w:p>
                <w:p w:rsidR="004218B0" w:rsidRDefault="004218B0" w:rsidP="009A53F9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shd w:val="clear" w:color="auto" w:fill="FFFFFF"/>
                    </w:rPr>
                    <w:t>(указано минимальное расстояние от подземных инженерных сетей до фундамента зданий и сооружений)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856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870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процент застройки земельного участка объектами жилищного строительства и хозяйственными постройками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562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Максимальная высота зданий, строений, сооружений</w:t>
                  </w:r>
                </w:p>
                <w:p w:rsidR="004218B0" w:rsidRDefault="004218B0" w:rsidP="009A53F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 количество этажей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этаж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575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Минимальная доля озелененной территории земельных участков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562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Максимальное расстояние от входа в жилое здание до хозяйственных площадок для мусоросборников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1152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pStyle w:val="4"/>
                    <w:tabs>
                      <w:tab w:val="left" w:pos="318"/>
                    </w:tabs>
                    <w:spacing w:line="240" w:lineRule="auto"/>
                    <w:ind w:left="34" w:firstLine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Минимальное расстояния от площадок для мусоросборников до площадок для игр детей, отдыха взрослого населения </w:t>
                  </w:r>
                  <w:proofErr w:type="gramStart"/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и  физкультурных</w:t>
                  </w:r>
                  <w:proofErr w:type="gramEnd"/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 площадок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pStyle w:val="4"/>
                    <w:spacing w:line="240" w:lineRule="auto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856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18B0" w:rsidRDefault="004218B0" w:rsidP="009A53F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Максимально возможная доля встроенного нежилого фонда в общем объеме фонда на участке жилой застройки</w:t>
                  </w:r>
                </w:p>
                <w:p w:rsidR="004218B0" w:rsidRDefault="004218B0" w:rsidP="009A53F9">
                  <w:pPr>
                    <w:pStyle w:val="4"/>
                    <w:tabs>
                      <w:tab w:val="left" w:pos="318"/>
                    </w:tabs>
                    <w:spacing w:line="240" w:lineRule="auto"/>
                    <w:ind w:left="34" w:firstLine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pStyle w:val="4"/>
                    <w:spacing w:line="240" w:lineRule="auto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113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pStyle w:val="4"/>
                    <w:spacing w:line="240" w:lineRule="auto"/>
                    <w:ind w:firstLine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Расстояния от наземных и наземно-подземных гаражей и открытых автостоянок, предназначенных для постоянного и временного хранения легковых автомобилей от 5 и более </w:t>
                  </w:r>
                  <w:proofErr w:type="spellStart"/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машиномест</w:t>
                  </w:r>
                  <w:proofErr w:type="spellEnd"/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8B0" w:rsidRDefault="004218B0" w:rsidP="009A53F9">
                  <w:pPr>
                    <w:pStyle w:val="4"/>
                    <w:spacing w:line="240" w:lineRule="auto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8B0" w:rsidRDefault="004218B0" w:rsidP="009A53F9">
                  <w:pPr>
                    <w:pStyle w:val="4"/>
                    <w:spacing w:line="240" w:lineRule="auto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  <w:tr w:rsidR="004218B0" w:rsidTr="009A53F9">
              <w:trPr>
                <w:gridAfter w:val="1"/>
                <w:wAfter w:w="287" w:type="dxa"/>
                <w:trHeight w:val="575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13.1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pStyle w:val="a4"/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Фасады жилых домов и торцы с окнами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pStyle w:val="a4"/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jc w:val="center"/>
                    <w:rPr>
                      <w:rStyle w:val="a9"/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Style w:val="a9"/>
                      <w:rFonts w:ascii="Times New Roman" w:eastAsiaTheme="minorHAnsi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575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13.2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pStyle w:val="a4"/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Торцы жилых домов без окон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pStyle w:val="a4"/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pStyle w:val="a6"/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856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13.3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Территории школ, детских учреждений, площадок для отдыха, игр</w:t>
                  </w:r>
                </w:p>
                <w:p w:rsidR="004218B0" w:rsidRDefault="004218B0" w:rsidP="009A53F9">
                  <w:pPr>
                    <w:pStyle w:val="a4"/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спорта, детских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pStyle w:val="a4"/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8B0" w:rsidRDefault="004218B0" w:rsidP="009A53F9">
                  <w:pPr>
                    <w:pStyle w:val="a7"/>
                    <w:spacing w:line="256" w:lineRule="auto"/>
                    <w:ind w:left="-68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18B0" w:rsidRDefault="004218B0" w:rsidP="009A53F9">
                  <w:pPr>
                    <w:pStyle w:val="a7"/>
                    <w:spacing w:line="256" w:lineRule="auto"/>
                    <w:ind w:left="-68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856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13.4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pStyle w:val="a4"/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8B0" w:rsidRDefault="004218B0" w:rsidP="009A53F9">
                  <w:pPr>
                    <w:pStyle w:val="align-justify1"/>
                    <w:spacing w:line="256" w:lineRule="auto"/>
                    <w:ind w:left="-689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4218B0" w:rsidRDefault="004218B0" w:rsidP="009A53F9">
                  <w:pPr>
                    <w:pStyle w:val="align-justify1"/>
                    <w:spacing w:line="256" w:lineRule="auto"/>
                    <w:ind w:left="-689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25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856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Минимальный размер земельного участка (кроме объектов коммерческого назначения)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pStyle w:val="a4"/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pStyle w:val="align-justify1"/>
                    <w:spacing w:line="256" w:lineRule="auto"/>
                    <w:ind w:left="-689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</w:t>
                  </w:r>
                </w:p>
                <w:p w:rsidR="004218B0" w:rsidRDefault="004218B0" w:rsidP="009A53F9">
                  <w:pPr>
                    <w:pStyle w:val="align-justify1"/>
                    <w:spacing w:line="256" w:lineRule="auto"/>
                    <w:ind w:left="-689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600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856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высота зданий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18B0" w:rsidRDefault="004218B0" w:rsidP="009A53F9">
                  <w:pPr>
                    <w:pStyle w:val="a4"/>
                    <w:spacing w:line="25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этаж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pStyle w:val="align-justify1"/>
                    <w:spacing w:line="256" w:lineRule="auto"/>
                    <w:ind w:left="-689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</w:t>
                  </w:r>
                </w:p>
                <w:p w:rsidR="004218B0" w:rsidRDefault="004218B0" w:rsidP="009A53F9">
                  <w:pPr>
                    <w:pStyle w:val="align-justify1"/>
                    <w:spacing w:line="256" w:lineRule="auto"/>
                    <w:ind w:left="-689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4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856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Минимальный размер земельного участка под размещение объектов коммерческого назначения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кв.м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250</w:t>
                  </w:r>
                </w:p>
              </w:tc>
            </w:tr>
            <w:tr w:rsidR="004218B0" w:rsidTr="009A53F9">
              <w:trPr>
                <w:gridAfter w:val="1"/>
                <w:wAfter w:w="287" w:type="dxa"/>
                <w:trHeight w:val="312"/>
              </w:trPr>
              <w:tc>
                <w:tcPr>
                  <w:tcW w:w="67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218B0" w:rsidRDefault="004218B0" w:rsidP="009A53F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0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4218B0" w:rsidRDefault="004218B0" w:rsidP="009A53F9">
                  <w:pPr>
                    <w:pStyle w:val="4"/>
                    <w:spacing w:line="240" w:lineRule="auto"/>
                    <w:ind w:firstLine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218B0" w:rsidRDefault="004218B0" w:rsidP="009A53F9">
                  <w:pPr>
                    <w:pStyle w:val="4"/>
                    <w:spacing w:line="240" w:lineRule="auto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218B0" w:rsidRDefault="004218B0" w:rsidP="009A53F9">
                  <w:pPr>
                    <w:pStyle w:val="4"/>
                    <w:spacing w:line="240" w:lineRule="auto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  <w:tr w:rsidR="004218B0" w:rsidTr="009A53F9">
              <w:trPr>
                <w:trHeight w:val="980"/>
              </w:trPr>
              <w:tc>
                <w:tcPr>
                  <w:tcW w:w="1001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218B0" w:rsidRDefault="004218B0" w:rsidP="009A53F9">
                  <w:pPr>
                    <w:pStyle w:val="FORMATTEXT"/>
                    <w:tabs>
                      <w:tab w:val="left" w:pos="300"/>
                    </w:tabs>
                    <w:spacing w:line="276" w:lineRule="auto"/>
                    <w:ind w:firstLine="34"/>
                    <w:rPr>
                      <w:rFonts w:ascii="Times New Roman" w:hAnsi="Times New Roman" w:cs="Times New Roman"/>
                    </w:rPr>
                  </w:pPr>
                  <w:r>
                    <w:t xml:space="preserve">    </w:t>
                  </w:r>
                  <w:r>
                    <w:rPr>
                      <w:rFonts w:ascii="Times New Roman" w:hAnsi="Times New Roman" w:cs="Times New Roman"/>
                    </w:rPr>
                    <w:t>Размещение встроенных предприятий, оказывающих вредное влияние на здоровье</w:t>
                  </w:r>
                </w:p>
                <w:p w:rsidR="004218B0" w:rsidRDefault="004218B0" w:rsidP="009A53F9">
                  <w:pPr>
                    <w:pStyle w:val="FORMATTEXT"/>
                    <w:tabs>
                      <w:tab w:val="left" w:pos="300"/>
                    </w:tabs>
                    <w:spacing w:line="276" w:lineRule="auto"/>
                    <w:ind w:hanging="74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населения (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рентгеноустановок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, магазинов стройматериалов, москательно-химических и </w:t>
                  </w:r>
                </w:p>
                <w:p w:rsidR="004218B0" w:rsidRDefault="004218B0" w:rsidP="009A53F9">
                  <w:pPr>
                    <w:pStyle w:val="FORMATTEXT"/>
                    <w:tabs>
                      <w:tab w:val="left" w:pos="300"/>
                    </w:tabs>
                    <w:spacing w:line="276" w:lineRule="auto"/>
                    <w:ind w:hanging="74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тому подобных), в условиях малоэтажной застройки не допускается.</w:t>
                  </w:r>
                </w:p>
                <w:p w:rsidR="004218B0" w:rsidRPr="008810F0" w:rsidRDefault="004218B0" w:rsidP="009A53F9">
                  <w:pPr>
                    <w:spacing w:after="120" w:line="240" w:lineRule="auto"/>
                    <w:rPr>
                      <w:rFonts w:ascii="Calibri" w:hAnsi="Calibri" w:cs="Times New Roman"/>
                    </w:rPr>
                  </w:pPr>
                </w:p>
              </w:tc>
            </w:tr>
          </w:tbl>
          <w:p w:rsidR="004218B0" w:rsidRDefault="004218B0" w:rsidP="009A53F9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4218B0" w:rsidRPr="0052068E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52068E"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аукционе: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 с. Корткерос, ул. Советская, д. 225, кабинет № 3, тел. (82136) 92238.</w:t>
      </w:r>
    </w:p>
    <w:p w:rsidR="004218B0" w:rsidRPr="00F318CB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8CB">
        <w:rPr>
          <w:rFonts w:ascii="Times New Roman" w:hAnsi="Times New Roman" w:cs="Times New Roman"/>
          <w:sz w:val="24"/>
          <w:szCs w:val="24"/>
        </w:rPr>
        <w:t xml:space="preserve">   Дата и время начала приема заявок на участие в аукционе: с </w:t>
      </w:r>
      <w:proofErr w:type="gramStart"/>
      <w:r w:rsidRPr="00F318CB">
        <w:rPr>
          <w:rFonts w:ascii="Times New Roman" w:hAnsi="Times New Roman" w:cs="Times New Roman"/>
          <w:sz w:val="24"/>
          <w:szCs w:val="24"/>
        </w:rPr>
        <w:t>29.09.2022  года</w:t>
      </w:r>
      <w:proofErr w:type="gramEnd"/>
      <w:r w:rsidRPr="00F318CB">
        <w:rPr>
          <w:rFonts w:ascii="Times New Roman" w:hAnsi="Times New Roman" w:cs="Times New Roman"/>
          <w:sz w:val="24"/>
          <w:szCs w:val="24"/>
        </w:rPr>
        <w:t>, понедельник – пятница  с  09.00 до 15.00 часов, перерыв с  13.00 часов до 14.00 часов.</w:t>
      </w:r>
    </w:p>
    <w:p w:rsidR="004218B0" w:rsidRPr="00F318CB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8CB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</w:t>
      </w:r>
      <w:proofErr w:type="gramStart"/>
      <w:r w:rsidRPr="00F318CB">
        <w:rPr>
          <w:rFonts w:ascii="Times New Roman" w:hAnsi="Times New Roman" w:cs="Times New Roman"/>
          <w:sz w:val="24"/>
          <w:szCs w:val="24"/>
        </w:rPr>
        <w:t>аукционе:  07.11.2022</w:t>
      </w:r>
      <w:proofErr w:type="gramEnd"/>
      <w:r w:rsidRPr="00F318CB">
        <w:rPr>
          <w:rFonts w:ascii="Times New Roman" w:hAnsi="Times New Roman" w:cs="Times New Roman"/>
          <w:sz w:val="24"/>
          <w:szCs w:val="24"/>
        </w:rPr>
        <w:t xml:space="preserve"> года в 13.00 часов. </w:t>
      </w:r>
    </w:p>
    <w:p w:rsidR="004218B0" w:rsidRPr="003B3511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2F4"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</w:t>
      </w:r>
      <w:r w:rsidRPr="003B3511">
        <w:rPr>
          <w:rFonts w:ascii="Times New Roman" w:hAnsi="Times New Roman" w:cs="Times New Roman"/>
          <w:sz w:val="24"/>
          <w:szCs w:val="24"/>
        </w:rPr>
        <w:t xml:space="preserve">предприниматели, подавшие заявку установленного образца, необходимые документы и внесшие задаток. 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Заявитель не допускается к участию в аукционе в следующих случаях: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непредставление необходимых для участия в аукционе документов или представление недостоверных сведений;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</w:t>
      </w:r>
      <w:proofErr w:type="spellStart"/>
      <w:r>
        <w:rPr>
          <w:rFonts w:ascii="Times New Roman" w:hAnsi="Times New Roman" w:cs="Times New Roman"/>
          <w:sz w:val="24"/>
        </w:rPr>
        <w:t>непоступление</w:t>
      </w:r>
      <w:proofErr w:type="spellEnd"/>
      <w:r>
        <w:rPr>
          <w:rFonts w:ascii="Times New Roman" w:hAnsi="Times New Roman" w:cs="Times New Roman"/>
          <w:sz w:val="24"/>
        </w:rPr>
        <w:t xml:space="preserve"> задатка на дату рассмотрения заявок на участие в аукционе;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4218B0" w:rsidRDefault="004218B0" w:rsidP="004218B0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 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</w:t>
      </w:r>
      <w:r>
        <w:rPr>
          <w:rFonts w:ascii="Times New Roman" w:hAnsi="Times New Roman" w:cs="Times New Roman"/>
          <w:sz w:val="24"/>
        </w:rPr>
        <w:lastRenderedPageBreak/>
        <w:t>исполнительного органа заявителя, являющегося юридическим лицом в реестре недобросовестных участников аукциона.</w:t>
      </w:r>
    </w:p>
    <w:p w:rsidR="004218B0" w:rsidRPr="00764F4E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D914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64F4E"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аукциона: 09.11.2022 года в 10.00 часов.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00D64"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 xml:space="preserve">док определения победителей: победителем аукциона признается участник торгов, предложивший в ходе торгов наибольший размер ежегодной арендной платы за земельный участок. </w:t>
      </w:r>
    </w:p>
    <w:p w:rsidR="004218B0" w:rsidRPr="00B94968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968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886903">
        <w:rPr>
          <w:rFonts w:ascii="Times New Roman" w:hAnsi="Times New Roman" w:cs="Times New Roman"/>
          <w:sz w:val="24"/>
          <w:szCs w:val="24"/>
        </w:rPr>
        <w:t xml:space="preserve">Осмотр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на местности: в рабочие дни по предварительной договоренности по адресу приема заявки. </w:t>
      </w:r>
    </w:p>
    <w:p w:rsidR="004218B0" w:rsidRPr="001A0449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49">
        <w:rPr>
          <w:rFonts w:ascii="Times New Roman" w:hAnsi="Times New Roman" w:cs="Times New Roman"/>
          <w:sz w:val="24"/>
          <w:szCs w:val="24"/>
        </w:rPr>
        <w:t xml:space="preserve">   Вынос границ земельного участка на местности победитель аукциона осуществляет самостоятельно и за свой счет. 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:rsidR="004218B0" w:rsidRPr="00D24085" w:rsidRDefault="004218B0" w:rsidP="004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>Заявитель может отозвать принятую заявку до дня окончания срока приема заявок, уведомив об этом в письменной форме организатора аукциона.</w:t>
      </w:r>
    </w:p>
    <w:p w:rsidR="004218B0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:rsidR="004218B0" w:rsidRDefault="004218B0" w:rsidP="004218B0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4218B0" w:rsidRDefault="004218B0" w:rsidP="004218B0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:rsidR="004218B0" w:rsidRDefault="004218B0" w:rsidP="004218B0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218B0" w:rsidRDefault="004218B0" w:rsidP="004218B0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:rsidR="004218B0" w:rsidRDefault="004218B0" w:rsidP="004218B0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>
        <w:rPr>
          <w:rFonts w:ascii="Times New Roman" w:hAnsi="Times New Roman" w:cs="Times New Roman"/>
          <w:sz w:val="24"/>
        </w:rPr>
        <w:t xml:space="preserve">сумма задатка вносится претендентом единым платежом на счет организатора аукциона по следующим реквизитам: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1113001350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КПП 111301001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ОКТМО 87616000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р/</w:t>
      </w:r>
      <w:proofErr w:type="spellStart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03232643876160000700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</w:t>
      </w:r>
      <w:proofErr w:type="spellStart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05073001811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Банк: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ОТДЕЛЕНИЕ-НБ РЕСПУБЛИКА КОМИ БАНКА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РОССИИ//УФК по Республике Коми </w:t>
      </w:r>
      <w:proofErr w:type="spellStart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г.Сыктывкар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 (к/</w:t>
      </w:r>
      <w:proofErr w:type="spellStart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40102810245370000074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</w:t>
      </w:r>
      <w:proofErr w:type="spellEnd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218B0" w:rsidRPr="002A018C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документов, подтверждающих внесение задатка, признается заключением соглашения о задатке.</w:t>
      </w:r>
    </w:p>
    <w:p w:rsidR="004218B0" w:rsidRPr="00500844" w:rsidRDefault="004218B0" w:rsidP="004218B0">
      <w:pPr>
        <w:pStyle w:val="aa"/>
        <w:tabs>
          <w:tab w:val="left" w:pos="898"/>
        </w:tabs>
        <w:ind w:firstLine="0"/>
        <w:rPr>
          <w:sz w:val="24"/>
        </w:rPr>
      </w:pPr>
      <w:r w:rsidRPr="001C178C">
        <w:rPr>
          <w:color w:val="FF0000"/>
          <w:sz w:val="24"/>
        </w:rPr>
        <w:t xml:space="preserve">  </w:t>
      </w:r>
      <w:r w:rsidRPr="006D4C5A">
        <w:rPr>
          <w:sz w:val="24"/>
        </w:rPr>
        <w:t xml:space="preserve"> </w:t>
      </w:r>
      <w:r w:rsidRPr="00500844">
        <w:rPr>
          <w:sz w:val="24"/>
        </w:rPr>
        <w:t xml:space="preserve">Последний срок внесения задатка: 07.11.2022 года до 13.00 часов.  </w:t>
      </w:r>
    </w:p>
    <w:p w:rsidR="004218B0" w:rsidRDefault="004218B0" w:rsidP="004218B0">
      <w:pPr>
        <w:pStyle w:val="aa"/>
        <w:tabs>
          <w:tab w:val="left" w:pos="898"/>
        </w:tabs>
        <w:ind w:firstLine="0"/>
        <w:rPr>
          <w:sz w:val="24"/>
        </w:rPr>
      </w:pPr>
      <w:r w:rsidRPr="00351EF0">
        <w:rPr>
          <w:sz w:val="24"/>
        </w:rPr>
        <w:t xml:space="preserve">   Документом, подтверждающим поступление задатка на счет организатора торгов</w:t>
      </w:r>
      <w:r>
        <w:rPr>
          <w:sz w:val="24"/>
        </w:rPr>
        <w:t>, является выписка со счета организатора торгов.</w:t>
      </w:r>
    </w:p>
    <w:p w:rsidR="004218B0" w:rsidRDefault="004218B0" w:rsidP="004218B0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:rsidR="004218B0" w:rsidRDefault="004218B0" w:rsidP="004218B0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:rsidR="004218B0" w:rsidRDefault="004218B0" w:rsidP="004218B0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:rsidR="004218B0" w:rsidRPr="005B243E" w:rsidRDefault="004218B0" w:rsidP="004218B0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5B243E">
        <w:rPr>
          <w:sz w:val="24"/>
        </w:rPr>
        <w:t xml:space="preserve">Срок аренды земельного участка: </w:t>
      </w:r>
      <w:r>
        <w:rPr>
          <w:sz w:val="24"/>
        </w:rPr>
        <w:t>30 (тридцать) месяцев</w:t>
      </w:r>
      <w:r w:rsidRPr="005B243E">
        <w:rPr>
          <w:sz w:val="24"/>
        </w:rPr>
        <w:t xml:space="preserve">. </w:t>
      </w:r>
    </w:p>
    <w:p w:rsidR="004218B0" w:rsidRPr="005B243E" w:rsidRDefault="004218B0" w:rsidP="004218B0">
      <w:pPr>
        <w:pStyle w:val="aa"/>
        <w:tabs>
          <w:tab w:val="left" w:pos="898"/>
        </w:tabs>
        <w:ind w:firstLine="0"/>
        <w:rPr>
          <w:sz w:val="24"/>
        </w:rPr>
      </w:pPr>
    </w:p>
    <w:p w:rsidR="004218B0" w:rsidRDefault="004218B0" w:rsidP="004218B0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на участие в аукционе;</w:t>
      </w:r>
    </w:p>
    <w:p w:rsidR="004218B0" w:rsidRDefault="004218B0" w:rsidP="004218B0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2. Проект договора аренды земельного участка;</w:t>
      </w:r>
    </w:p>
    <w:p w:rsidR="004218B0" w:rsidRPr="00AE1D9E" w:rsidRDefault="004218B0" w:rsidP="004218B0">
      <w:pPr>
        <w:pStyle w:val="aa"/>
        <w:tabs>
          <w:tab w:val="left" w:pos="898"/>
        </w:tabs>
        <w:ind w:firstLine="0"/>
        <w:rPr>
          <w:sz w:val="24"/>
        </w:rPr>
      </w:pPr>
      <w:r w:rsidRPr="007841ED">
        <w:rPr>
          <w:color w:val="FF0000"/>
          <w:sz w:val="24"/>
        </w:rPr>
        <w:t xml:space="preserve">                        </w:t>
      </w:r>
      <w:r w:rsidRPr="00AE1D9E">
        <w:rPr>
          <w:sz w:val="24"/>
        </w:rPr>
        <w:t xml:space="preserve">3. </w:t>
      </w:r>
      <w:r>
        <w:rPr>
          <w:sz w:val="24"/>
        </w:rPr>
        <w:t>Копии технических условий.</w:t>
      </w:r>
    </w:p>
    <w:p w:rsidR="004218B0" w:rsidRPr="0080541F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218B0" w:rsidRPr="00F91078" w:rsidRDefault="004218B0" w:rsidP="004218B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0541F" w:rsidRDefault="0080541F" w:rsidP="004433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муниципального района </w:t>
      </w:r>
    </w:p>
    <w:p w:rsidR="00E2659B" w:rsidRPr="0080541F" w:rsidRDefault="0080541F" w:rsidP="004433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«Корткеросский» - руководителя администрации                  </w:t>
      </w:r>
      <w:r w:rsidR="00594F0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    Е.Н. Андреева</w:t>
      </w:r>
    </w:p>
    <w:sectPr w:rsidR="00E2659B" w:rsidRPr="0080541F" w:rsidSect="003B1CB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">
    <w:nsid w:val="4AA859F2"/>
    <w:multiLevelType w:val="hybridMultilevel"/>
    <w:tmpl w:val="2FA682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1E"/>
    <w:rsid w:val="00087A1E"/>
    <w:rsid w:val="004218B0"/>
    <w:rsid w:val="004433E6"/>
    <w:rsid w:val="00594F01"/>
    <w:rsid w:val="0080541F"/>
    <w:rsid w:val="00E2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EA3B3-29EE-4F25-B611-60952407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18B0"/>
    <w:rPr>
      <w:color w:val="0563C1" w:themeColor="hyperlink"/>
      <w:u w:val="single"/>
    </w:rPr>
  </w:style>
  <w:style w:type="paragraph" w:styleId="a4">
    <w:name w:val="No Spacing"/>
    <w:link w:val="a5"/>
    <w:uiPriority w:val="99"/>
    <w:qFormat/>
    <w:rsid w:val="004218B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4218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4218B0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4218B0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4218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4218B0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4218B0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4218B0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4218B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218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4218B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4218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2687</Words>
  <Characters>15321</Characters>
  <Application>Microsoft Office Word</Application>
  <DocSecurity>0</DocSecurity>
  <Lines>127</Lines>
  <Paragraphs>35</Paragraphs>
  <ScaleCrop>false</ScaleCrop>
  <Company>SPecialiST RePack</Company>
  <LinksUpToDate>false</LinksUpToDate>
  <CharactersWithSpaces>17973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КарповаИА</dc:creator>
  <cp:keywords/>
  <dc:description/>
  <cp:lastModifiedBy>КарповаИА</cp:lastModifiedBy>
  <cp:revision>5</cp:revision>
  <dcterms:created xsi:type="dcterms:W3CDTF">2022-09-27T08:56:00Z</dcterms:created>
  <dcterms:modified xsi:type="dcterms:W3CDTF">2022-09-27T08:58:00Z</dcterms:modified>
</cp:coreProperties>
</file>