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31" w:rsidRPr="0000538D" w:rsidRDefault="00280631" w:rsidP="00280631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9FC2" wp14:editId="65ACA02B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280631" w:rsidRPr="0000538D" w:rsidRDefault="00280631" w:rsidP="00280631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80631" w:rsidRPr="0000538D" w:rsidRDefault="00280631" w:rsidP="00280631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280631" w:rsidRPr="0000538D" w:rsidRDefault="00280631" w:rsidP="0028063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80631" w:rsidRPr="0000538D" w:rsidRDefault="00280631" w:rsidP="0028063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80631" w:rsidRPr="0000538D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280631" w:rsidRPr="0000538D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280631" w:rsidRPr="0000538D" w:rsidRDefault="00280631" w:rsidP="0028063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80631" w:rsidRPr="0000538D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80631" w:rsidRPr="0000538D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80631" w:rsidRPr="0000538D" w:rsidRDefault="00280631" w:rsidP="00280631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80631" w:rsidRPr="0000538D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352</w:t>
      </w:r>
    </w:p>
    <w:p w:rsidR="00280631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23 декабря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280631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4</w:t>
      </w:r>
    </w:p>
    <w:p w:rsidR="00280631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80631" w:rsidRPr="00ED5031" w:rsidRDefault="00280631" w:rsidP="002806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8ACDB" wp14:editId="14CC0E86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280631" w:rsidRPr="00ED5031" w:rsidRDefault="00280631" w:rsidP="00280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Совета муниципального района «Корткеросский» </w:t>
      </w:r>
    </w:p>
    <w:p w:rsidR="00280631" w:rsidRDefault="00280631" w:rsidP="00280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280631" w:rsidRPr="00ED5031" w:rsidRDefault="00280631" w:rsidP="002806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280631" w:rsidRPr="00ED5031" w:rsidTr="004D4290">
        <w:tc>
          <w:tcPr>
            <w:tcW w:w="803" w:type="dxa"/>
          </w:tcPr>
          <w:p w:rsidR="00280631" w:rsidRPr="00ED5031" w:rsidRDefault="00280631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280631" w:rsidRPr="00ED5031" w:rsidRDefault="00280631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280631" w:rsidRPr="00ED5031" w:rsidRDefault="00280631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280631" w:rsidRPr="00ED5031" w:rsidTr="004D4290">
        <w:trPr>
          <w:trHeight w:val="541"/>
        </w:trPr>
        <w:tc>
          <w:tcPr>
            <w:tcW w:w="803" w:type="dxa"/>
          </w:tcPr>
          <w:p w:rsidR="00280631" w:rsidRPr="00ED5031" w:rsidRDefault="00280631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280631" w:rsidRPr="00ED5031" w:rsidRDefault="00280631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280631" w:rsidRPr="00ED5031" w:rsidRDefault="00280631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0631" w:rsidRPr="00ED5031" w:rsidTr="004D4290">
        <w:trPr>
          <w:trHeight w:val="541"/>
        </w:trPr>
        <w:tc>
          <w:tcPr>
            <w:tcW w:w="803" w:type="dxa"/>
          </w:tcPr>
          <w:p w:rsidR="00280631" w:rsidRPr="00ED5031" w:rsidRDefault="00280631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280631" w:rsidRPr="00B07EF5" w:rsidRDefault="00280631" w:rsidP="0028063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22.12.2021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-11/1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t xml:space="preserve"> «</w:t>
            </w:r>
            <w:r w:rsidRPr="00280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2806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2022 год и плановый период 2023 и 2024 годов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280631" w:rsidRPr="00ED5031" w:rsidRDefault="00280631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2-38</w:t>
            </w:r>
          </w:p>
        </w:tc>
      </w:tr>
    </w:tbl>
    <w:p w:rsidR="00280631" w:rsidRDefault="00280631" w:rsidP="00280631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6785" w:rsidRDefault="00396785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Default="00280631"/>
    <w:p w:rsidR="00280631" w:rsidRP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806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от 22.12.2021 № </w:t>
      </w:r>
      <w:r w:rsidRPr="00280631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2806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-11/18</w:t>
      </w:r>
    </w:p>
    <w:p w:rsidR="00280631" w:rsidRDefault="00280631" w:rsidP="00280631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80631">
        <w:rPr>
          <w:rFonts w:ascii="Times New Roman" w:hAnsi="Times New Roman" w:cs="Times New Roman"/>
          <w:b/>
          <w:sz w:val="32"/>
          <w:szCs w:val="32"/>
        </w:rPr>
        <w:t>«</w:t>
      </w:r>
      <w:r w:rsidRPr="002806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 бюджете муниципального района «Корткеросский» на 2022 год и плановый период 2023 и 2024 годов»</w:t>
      </w:r>
    </w:p>
    <w:p w:rsidR="00280631" w:rsidRDefault="00280631" w:rsidP="00280631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80631" w:rsidRPr="00280631" w:rsidRDefault="00280631" w:rsidP="00280631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14 Положения о бюджетном процессе в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28063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 Совет муниципального района «Корткеросский», решил:</w:t>
      </w:r>
    </w:p>
    <w:p w:rsidR="00280631" w:rsidRPr="00280631" w:rsidRDefault="00280631" w:rsidP="00280631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</w:t>
      </w:r>
      <w:r w:rsidRPr="002806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основные характеристики бюджета муниципального района «Корткеросский» на 2022 год: 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доходов в сумме 1</w:t>
      </w:r>
      <w:r w:rsidRPr="0028063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273</w:t>
      </w:r>
      <w:r w:rsidRPr="0028063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056</w:t>
      </w:r>
      <w:r w:rsidRPr="00280631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031,96 рублей;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расходов в сумме 1 259 127 031,96 рублей;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профицит в сумме 13 929 000,0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Pr="002806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основные характеристики бюджета муниципального района «Корткеросский» на 2023 год и на 2024 год: 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общий объем доходов на 2023 год в сумме 1 203 325 025,92</w:t>
      </w:r>
      <w:r w:rsidRPr="0028063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рублей и на </w:t>
      </w: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в сумме 1 480 522 455,60 рублей;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расходов на 2023 год в сумме 1 193 743 025,92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 и на 2024 год в сумме 1 470 940 455,60 рублей;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профицит на 2023 год в сумме 9 582 000,0 рублей и на 2024 год в сумме 9 582 000,0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Утвердить общий объем бюджетных ассигнований, направляемых на исполнение публичных нормативных обязательств муниципального района «Корткеросский» на 2022 год в сумме 0,00 рублей, на 2023 год – в сумме 0,00 рублей и на 2024 год – в сумме 0,00 рублей. 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4. Утвердить общий объем условно утвержденных расходов на 2023 год в сумме 10 178 839,0 рублей и на 2024 год в сумме 21 336 658,0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5. Утвердить объем безвозмездных поступлений в бюджет муниципального района «Корткеросский» в 2022 году в сумме 970 020 307,96 рублей, в том числе объем межбюджетных трансфертов, получаемых из других бюджетов бюджетной системы Российской Федерации, в сумме 970 020 307,96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6. Утвердить объем безвозмездных поступлений в бюджет муниципального района «Корткеросский» в 2023 году в сумме 890 607 899,92 рублей, в том числе объем межбюджетных трансфертов, получаемых из других бюджетов бюджетной системы Российской Федерации, в сумме 890 607 899,92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7. Утвердить объем безвозмездных поступлений в бюджет муниципального   района «Корткеросский» в 2024 году в сумме 1 155 897 884,60 рублей, в том числе объем межбюджетных трансфертов, получаемых из других бюджетов бюджетной системы Российской Федерации, в сумме 1 155 897 884,60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8.Утвердить объем межбюджетных трансфертов, предоставляемых из бюджета муниципального района «Корткеросский» бюджетам поселений в 2022 году, в сумме 74 228 662,0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9.Утвердить объем межбюджетных трансфертов, предоставляемых из бюджета муниципального района «Корткеросский» бюджетам поселений в 2023 году, в сумме 32 457 316,0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10. Утвердить объем межбюджетных трансфертов, предоставляемых из бюджета муниципального района «Корткеросский» бюджетам поселений в 2024 году, в сумме 25 286 716,0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11.</w:t>
      </w:r>
      <w:r w:rsidRPr="002806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объем доходов в бюджет муниципального района «Корткеросский» на 2022 год и плановый период 2023 и 2024 годов согласно приложению 1 к настоящему Решению.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12. Утвердить объем бюджетных ассигнований Муниципального дорожного фонда муниципального района «Корткеросский» на 2022 год в размере 30 807 790,0 рублей, на 2023 и 2024 годы – 30 854 930,0 рублей и 31 146 490,0 рублей соответственно.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13. Утвердить распределение бюджетных ассигнований по </w:t>
      </w: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разделам и подразделам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классификации расходов бюджетов на 2022 год и плановый период 2023 и 2024 годов согласно приложению 2 к настоящему Решению.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14. Утвердить распределение бюджетных ассигнований по целевым статьям (муниципальным программам муниципального района и непрограммным направлениям деятельности), группам </w:t>
      </w:r>
      <w:proofErr w:type="gramStart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видов расходов классификации расходов бюджетов</w:t>
      </w:r>
      <w:proofErr w:type="gramEnd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2022 год и плановый период 2023 и 2024 годов согласно приложению 3 к настоящему Решению.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15. Утвердить ведомственную структуру расходов бюджета муниципального района «Корткеросский» на 2022 год и плановый период 2023 и 2024 годов согласно приложению 4 к настоящему Решению.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16.</w:t>
      </w:r>
      <w:r w:rsidRPr="002806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источники финансирования дефицита бюджета муниципального района «Корткеросский» на 2022 год и плановый период 2023 и 2024 годов согласно приложению 5 к настоящему Решению.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17.</w:t>
      </w:r>
      <w:r w:rsidRPr="002806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Утвердить перечень главных администраторов доходов бюджета муниципального района «Корткеросский» согласно приложению 6 к настоящему Решению.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18. Утвердить перечень главных </w:t>
      </w:r>
      <w:proofErr w:type="gramStart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администраторов источников финансирования дефицита бюджета муниципального</w:t>
      </w:r>
      <w:proofErr w:type="gramEnd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«Корткеросский» согласно приложению 7 к настоящему Решению.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19. Утвердить нормативы распределения доходов между  бюджетом муниципального района «Корткеросский» и бюджетами поселений на 2022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год и плановый период 2023 и 2024 годов согласно приложению 8 к настоящему Решению. 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20.</w:t>
      </w:r>
      <w:r w:rsidRPr="002806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gramStart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Размер части</w:t>
      </w:r>
      <w:r w:rsidRPr="002806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прибыли  муниципальных унитарных предприятий муниципального района «Корткеросский», остающейся после уплаты налогов  и иных обязательных платежей в бюджет и подлежащей перечислению в бюджет муниципального района «Корткеросский», определяется в процентах от прибыли муниципальных унитарных предприятий муниципального района «Корткеросский», остающейся после уплаты налогов  и иных обязательных платежей в бюджет,  на основании данных квартальной и годовой бухгалтерской отчетности за вычетом ранее уплаченной</w:t>
      </w:r>
      <w:proofErr w:type="gramEnd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части прибыли за отчетный период и равен 30 процентам.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Перечисление платежей в бюджет муниципального района «Корткеросский» производится в порядке и в сроки, установленные Администрацией муниципального района «Корткеросский».</w:t>
      </w:r>
    </w:p>
    <w:p w:rsidR="00280631" w:rsidRPr="00280631" w:rsidRDefault="00280631" w:rsidP="00280631">
      <w:pPr>
        <w:tabs>
          <w:tab w:val="left" w:pos="851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21. Установить верхний предел муниципального долга муниципального района «Корткеросский» по состоянию на 1 января 2023 года в сумме 28 746 000,0 рублей, в том числе верхний предел долга по муниципальным гарантиям в сумме 0,00 рублей.</w:t>
      </w:r>
    </w:p>
    <w:p w:rsidR="00280631" w:rsidRPr="00280631" w:rsidRDefault="00280631" w:rsidP="00280631">
      <w:pPr>
        <w:tabs>
          <w:tab w:val="left" w:pos="851"/>
          <w:tab w:val="left" w:pos="900"/>
          <w:tab w:val="left" w:pos="993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22.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Установить верхний предел муниципального долга муниципального района «Корткеросский» по состоянию на 1 января 2024 года в сумме 19 164 000,0 рублей, в том числе верхний предел долга по муниципальным гарантиям в сумме 0,00 рублей.</w:t>
      </w:r>
    </w:p>
    <w:p w:rsidR="00280631" w:rsidRPr="00280631" w:rsidRDefault="00280631" w:rsidP="00280631">
      <w:pPr>
        <w:tabs>
          <w:tab w:val="left" w:pos="851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23.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Установить верхний предел муниципального долга муниципального района «Корткеросский» по состоянию на 1 января 2024 года в сумме 9 582 000,0 рублей, в том числе верхний предел долга по муниципальным гарантиям в сумме 0,00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24. Утвердить объем расходов на обслуживание муниципального долга муниципального района «Корткеросский» в 2022 году в сумме 250 000,0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25. Утвердить объем расходов на обслуживание муниципального долга муниципального района «Корткеросский» в 2023 году в сумме 35 000,0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26. Утвердить объем расходов на обслуживание муниципального долга муниципального района «Корткеросский» в 2024 году в сумме 0,0 рублей.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27. Утвердить программу муниципальных заимствований муниципального района «Корткеросский» на 2022 год и плановый период 2023 и 2024 годов согласно приложению 9 к настоящему Решению.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28. Утвердить программу муниципальных гарантий муниципального района «Корткеросский» в валюте Российской Федерации на 2022 год и плановый период 2023 и 2024 годов согласно приложению 10 к настоящему Решению.</w:t>
      </w:r>
    </w:p>
    <w:p w:rsidR="00280631" w:rsidRPr="00280631" w:rsidRDefault="00280631" w:rsidP="0028063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Установить, что неналоговые доходы, поступающие заказчикам муниципального района «Корткеросский», действующим от имени муниципального района «Корткеросский», в порядке, предусмотренном </w:t>
      </w: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Федеральным законом "О контрактной системе в сфере закупок товаров, работ, услуг для обеспечения государственных и муниципальных нужд", зачисляется в доход бюджета МР «Корткеросский»;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30</w:t>
      </w: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</w:t>
      </w:r>
      <w:r w:rsidRPr="002806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gramStart"/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юридическим лицам (за исключением субсидий муниципальным учреждениям, а также субсидий, указанных в пунктах 6-8 статьи 78 Бюджетного Кодекса Российской Федерации), индивидуальным предпринимателям,  также физическим лицам – производителям товаров, работ, услуг, предусмотренные настоящим Решением, предоставляются в случаях и порядке, предусмотренных настоящим Решением  и принимаемыми в соответствии с ним нормативными правовыми актами администрации муниципального района «Корткеросский», с учетом требований, установленных пунктом 3</w:t>
      </w:r>
      <w:proofErr w:type="gramEnd"/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78 Бюджетного Кодекса Российской Федерации.</w:t>
      </w:r>
    </w:p>
    <w:p w:rsidR="00280631" w:rsidRPr="00280631" w:rsidRDefault="00280631" w:rsidP="0028063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31.</w:t>
      </w:r>
      <w:r w:rsidRPr="002806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Установить в соответствии с пунктом 8 статьи 217</w:t>
      </w: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 и пунктом 4 статьи 16 Решения Совета муниципального района Корткеросский» «Об утверждении 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Положения о</w:t>
      </w:r>
      <w:r w:rsidRPr="00280631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бюджетном процессе в</w:t>
      </w: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Pr="00280631">
        <w:rPr>
          <w:rFonts w:ascii="Times New Roman" w:eastAsia="Times New Roman" w:hAnsi="Times New Roman" w:cs="Times New Roman"/>
          <w:bCs/>
          <w:sz w:val="28"/>
          <w:szCs w:val="32"/>
          <w:lang w:eastAsia="ru-RU"/>
        </w:rPr>
        <w:t xml:space="preserve"> муниципального района «Корткеросский» следующие основания для внесения в 2022 году изменений в показатели сводной бюджетной росписи </w:t>
      </w: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муниципального района «Корткеросский»:</w:t>
      </w:r>
      <w:proofErr w:type="gramEnd"/>
    </w:p>
    <w:p w:rsidR="00280631" w:rsidRPr="00280631" w:rsidRDefault="00280631" w:rsidP="00280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распределение главным распорядителям средств бюджета муниципального района "Корткеросский" остатков средств бюджета муниципального района "Корткеросский", образовавшихся на 1 января текущего финансового года за счет не использованных в отчетном финансовом году межбюджетных трансфертов, полученных в форме субсидий, субвенций, и иных межбюджетных трансфертов, имеющих целевое назначение;</w:t>
      </w:r>
    </w:p>
    <w:p w:rsidR="00280631" w:rsidRPr="00280631" w:rsidRDefault="00280631" w:rsidP="00280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28063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Министерством финансов Российской Федерации изменений в Порядок формирования и применения кодов бюджетной классификации Российской Федерации, их структуру и принципы назначения, в части отражения расходов по кодам разделов, подразделов, видов расходов, а также по кодам целевых статей 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  <w:proofErr w:type="gramEnd"/>
    </w:p>
    <w:p w:rsidR="00280631" w:rsidRPr="00280631" w:rsidRDefault="00280631" w:rsidP="00280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перераспределение бюджетных ассигнований в пределах утвержденного решением Совета муниципального района "Корткеросский" объема бюджетных ассигнований на реализацию муниципальной программы муниципального района "Корткеросский", а также бюджетных ассигнований, предусмотренных по целевой статье непрограммных направлений деятельности на соответствующий финансовый год;</w:t>
      </w:r>
    </w:p>
    <w:p w:rsidR="00280631" w:rsidRPr="00280631" w:rsidRDefault="00280631" w:rsidP="00280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перераспределение бюджетных ассигнований в пределах утвержденного настоящим Решением объема бюджетных ассигнований, предусмотренных по основному мероприятию целевой статьи расходов (11 - 12 разряды кода классификации расходов бюджетов), в случае детализации </w:t>
      </w: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(изменения детализации) этого основного мероприятия по направлениям расходов целевой статьи расходов (13 - 17 разряды кода классификации расходов бюджетов);</w:t>
      </w:r>
    </w:p>
    <w:p w:rsidR="00280631" w:rsidRPr="00280631" w:rsidRDefault="00280631" w:rsidP="00280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перераспределение бюджетных ассигнований в пределах, предусмотренных главному распорядителю бюджетных средств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(работ) и субсидий на иные цели;</w:t>
      </w:r>
    </w:p>
    <w:p w:rsidR="00280631" w:rsidRPr="00280631" w:rsidRDefault="00280631" w:rsidP="00280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перераспределение бюджетных ассигнований в пределах утвержденного настоящим Решением о бюджете общего объема бюджетных ассигнований, предусмотренных по целевой статье расходов, между разделами, подразделами и (или) видами расходов;</w:t>
      </w:r>
    </w:p>
    <w:p w:rsidR="00280631" w:rsidRPr="00280631" w:rsidRDefault="00280631" w:rsidP="002806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8"/>
          <w:lang w:eastAsia="ru-RU"/>
        </w:rPr>
        <w:t>7) перераспределение бюджетных ассигнований главного распорядителя бюджетных средств с уточнением разделов, подразделов, целевых статьей, групп видов расходов в случаях, необходимых для изменения бюджетной классификации расходов, - в пределах общего объема бюджетных ассигнований, предусмотренных настоящим Решением о бюджете главному распорядителю бюджетных средств.</w:t>
      </w:r>
    </w:p>
    <w:p w:rsidR="00280631" w:rsidRPr="00280631" w:rsidRDefault="00280631" w:rsidP="00280631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32. Утвердить распределение дотаций на выравнивание бюджетной обеспеченности муниципальных образований сельских поселений на 2022 год и плановый период 2023 и 2024 годов согласно приложению 11 к настоящему Решению.</w:t>
      </w:r>
    </w:p>
    <w:p w:rsidR="00280631" w:rsidRPr="00280631" w:rsidRDefault="00280631" w:rsidP="00280631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33. Утвердить распределение иных межбюджетных трансфертов бюджетам муниципальных образований сельских поселений на общее покрытие расходов на 2022 год и плановый период 2023 и 2024 годов согласно приложению 12 к настоящему Решению.</w:t>
      </w:r>
    </w:p>
    <w:p w:rsidR="00280631" w:rsidRPr="00280631" w:rsidRDefault="00280631" w:rsidP="00280631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34. Утвердить распределение субвенций на осуществление государственных полномочий Республики Коми, предусмотренных пунктом 6 статьи 1, статьями 2,2</w:t>
      </w:r>
      <w:r w:rsidRPr="00280631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ru-RU"/>
        </w:rPr>
        <w:t>1</w:t>
      </w: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3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2022 год и плановый период 2022 и 2023 годов согласно приложению 13 к настоящему Решению.</w:t>
      </w:r>
    </w:p>
    <w:p w:rsidR="00280631" w:rsidRPr="00280631" w:rsidRDefault="00280631" w:rsidP="00280631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35. Утвердить распределение иных межбюджетных трансфертов передаваемые бюджетам сельских поселений </w:t>
      </w:r>
      <w:proofErr w:type="gramStart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на осуществление части полномочий по решению вопросов местного значения муниципального района при их передаче на уровень сельских поселений в соответствии</w:t>
      </w:r>
      <w:proofErr w:type="gramEnd"/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 заключенными соглашениями на 2022 год и плановый период 2023 и 2024 годов согласно приложению 14 к настоящему Решению.</w:t>
      </w:r>
    </w:p>
    <w:p w:rsidR="00280631" w:rsidRPr="00280631" w:rsidRDefault="00280631" w:rsidP="00280631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36. Установить, что не использованные по состоянию на 1 января 2022 года остатки межбюджетных трансфертов, предоставленных из бюджета муниципального района «Корткеросский» в форме субвенций и иных межбюджетных трансфертов, имеющих целевое назначение, подлежат возврату в бюджет муниципального района «Корткеросский» в соответствии с бюджетным законодательством.</w:t>
      </w:r>
    </w:p>
    <w:p w:rsidR="00280631" w:rsidRPr="00280631" w:rsidRDefault="00280631" w:rsidP="00280631">
      <w:pPr>
        <w:numPr>
          <w:ilvl w:val="2"/>
          <w:numId w:val="0"/>
        </w:numPr>
        <w:tabs>
          <w:tab w:val="num" w:pos="0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37. Установить, что в 2022 году не допускается увеличение штатной численности муниципальных служащих, иных работников администрации муниципального района «Корткеросский» и отраслевых (функциональных) органов администрации муниципального района «Корткеросский».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sz w:val="28"/>
          <w:szCs w:val="20"/>
          <w:lang w:eastAsia="ru-RU"/>
        </w:rPr>
        <w:t>38. Настоящее Решение вступает в силу со дня его официального опубликования и распространяется на правоотношения, возникшие с 01 января 2022 года.</w:t>
      </w:r>
    </w:p>
    <w:p w:rsidR="00280631" w:rsidRPr="00280631" w:rsidRDefault="00280631" w:rsidP="002806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280631" w:rsidRPr="00280631" w:rsidRDefault="00280631" w:rsidP="0028063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280631" w:rsidRPr="00280631" w:rsidRDefault="00280631" w:rsidP="00280631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8063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Глава муниципального образования</w:t>
      </w:r>
    </w:p>
    <w:p w:rsidR="00280631" w:rsidRPr="00280631" w:rsidRDefault="00280631" w:rsidP="00280631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муниципального </w:t>
      </w:r>
      <w:r w:rsidRPr="002806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- </w:t>
      </w:r>
    </w:p>
    <w:p w:rsidR="00280631" w:rsidRPr="00280631" w:rsidRDefault="00280631" w:rsidP="00280631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2806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                                                     К.А. Сажин</w:t>
      </w:r>
      <w:r w:rsidRPr="0028063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28063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28063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28063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280631" w:rsidRDefault="00280631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6D502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5020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6D5020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P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D5020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5749290</wp:posOffset>
                </wp:positionH>
                <wp:positionV relativeFrom="paragraph">
                  <wp:posOffset>-323850</wp:posOffset>
                </wp:positionV>
                <wp:extent cx="361950" cy="228600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2.7pt;margin-top:-25.5pt;width:28.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" fillcolor="white [3212]" stroked="f" strokeweight="2pt"/>
            </w:pict>
          </mc:Fallback>
        </mc:AlternateContent>
      </w:r>
    </w:p>
    <w:p w:rsidR="006D5020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6D5020" w:rsidRPr="006D3047" w:rsidRDefault="006D5020" w:rsidP="006D50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6D5020" w:rsidRPr="006D3047" w:rsidRDefault="006D5020" w:rsidP="006D5020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5020" w:rsidRPr="006D3047" w:rsidRDefault="006D5020" w:rsidP="006D502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: 9-25-51</w:t>
      </w:r>
    </w:p>
    <w:p w:rsidR="006D5020" w:rsidRPr="006D3047" w:rsidRDefault="006D5020" w:rsidP="006D5020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декабря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6D5020" w:rsidRPr="006D3047" w:rsidRDefault="006D5020" w:rsidP="006D502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6D5020" w:rsidRPr="006D3047" w:rsidRDefault="006D5020" w:rsidP="006D5020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6D5020" w:rsidRPr="006D3047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6D5020" w:rsidRDefault="006D5020" w:rsidP="006D50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D5020" w:rsidRPr="00280631" w:rsidRDefault="006D5020" w:rsidP="00280631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6D5020" w:rsidRPr="00280631" w:rsidSect="00280631">
      <w:headerReference w:type="default" r:id="rId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8AD" w:rsidRDefault="002118AD" w:rsidP="00280631">
      <w:pPr>
        <w:spacing w:after="0" w:line="240" w:lineRule="auto"/>
      </w:pPr>
      <w:r>
        <w:separator/>
      </w:r>
    </w:p>
  </w:endnote>
  <w:endnote w:type="continuationSeparator" w:id="0">
    <w:p w:rsidR="002118AD" w:rsidRDefault="002118AD" w:rsidP="0028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8AD" w:rsidRDefault="002118AD" w:rsidP="00280631">
      <w:pPr>
        <w:spacing w:after="0" w:line="240" w:lineRule="auto"/>
      </w:pPr>
      <w:r>
        <w:separator/>
      </w:r>
    </w:p>
  </w:footnote>
  <w:footnote w:type="continuationSeparator" w:id="0">
    <w:p w:rsidR="002118AD" w:rsidRDefault="002118AD" w:rsidP="0028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02406"/>
      <w:docPartObj>
        <w:docPartGallery w:val="Page Numbers (Top of Page)"/>
        <w:docPartUnique/>
      </w:docPartObj>
    </w:sdtPr>
    <w:sdtContent>
      <w:p w:rsidR="00280631" w:rsidRDefault="0028063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020">
          <w:rPr>
            <w:noProof/>
          </w:rPr>
          <w:t>40</w:t>
        </w:r>
        <w:r>
          <w:fldChar w:fldCharType="end"/>
        </w:r>
      </w:p>
    </w:sdtContent>
  </w:sdt>
  <w:p w:rsidR="00280631" w:rsidRDefault="002806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FA0"/>
    <w:rsid w:val="002118AD"/>
    <w:rsid w:val="00280631"/>
    <w:rsid w:val="00396785"/>
    <w:rsid w:val="006D5020"/>
    <w:rsid w:val="00AC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280631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280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631"/>
  </w:style>
  <w:style w:type="paragraph" w:styleId="a5">
    <w:name w:val="footer"/>
    <w:basedOn w:val="a"/>
    <w:link w:val="a6"/>
    <w:uiPriority w:val="99"/>
    <w:unhideWhenUsed/>
    <w:rsid w:val="00280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631"/>
  </w:style>
  <w:style w:type="paragraph" w:styleId="a7">
    <w:name w:val="Balloon Text"/>
    <w:basedOn w:val="a"/>
    <w:link w:val="a8"/>
    <w:uiPriority w:val="99"/>
    <w:semiHidden/>
    <w:unhideWhenUsed/>
    <w:rsid w:val="006D5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5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3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280631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280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80631"/>
  </w:style>
  <w:style w:type="paragraph" w:styleId="a5">
    <w:name w:val="footer"/>
    <w:basedOn w:val="a"/>
    <w:link w:val="a6"/>
    <w:uiPriority w:val="99"/>
    <w:unhideWhenUsed/>
    <w:rsid w:val="00280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80631"/>
  </w:style>
  <w:style w:type="paragraph" w:styleId="a7">
    <w:name w:val="Balloon Text"/>
    <w:basedOn w:val="a"/>
    <w:link w:val="a8"/>
    <w:uiPriority w:val="99"/>
    <w:semiHidden/>
    <w:unhideWhenUsed/>
    <w:rsid w:val="006D5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5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41</Pages>
  <Words>2377</Words>
  <Characters>13554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2022-01-10T13:56:00Z</cp:lastPrinted>
  <dcterms:created xsi:type="dcterms:W3CDTF">2022-01-10T13:38:00Z</dcterms:created>
  <dcterms:modified xsi:type="dcterms:W3CDTF">2022-01-10T13:58:00Z</dcterms:modified>
</cp:coreProperties>
</file>